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590"/>
        <w:rPr>
          <w:rFonts w:hint="eastAsia" w:ascii="宋体" w:hAnsi="宋体" w:eastAsia="宋体" w:cs="宋体"/>
          <w:color w:val="auto"/>
          <w:sz w:val="40"/>
          <w:szCs w:val="40"/>
          <w:lang w:val="en-US" w:eastAsia="zh-CN"/>
        </w:rPr>
      </w:pPr>
      <w:r>
        <w:rPr>
          <w:rFonts w:hint="eastAsia" w:ascii="宋体" w:hAnsi="宋体" w:eastAsia="宋体" w:cs="宋体"/>
          <w:color w:val="auto"/>
          <w:sz w:val="40"/>
          <w:szCs w:val="40"/>
        </w:rPr>
        <w:t>201</w:t>
      </w:r>
      <w:r>
        <w:rPr>
          <w:rFonts w:hint="eastAsia" w:ascii="宋体" w:hAnsi="宋体" w:eastAsia="宋体" w:cs="宋体"/>
          <w:color w:val="auto"/>
          <w:sz w:val="40"/>
          <w:szCs w:val="40"/>
          <w:lang w:val="en-US" w:eastAsia="zh-CN"/>
        </w:rPr>
        <w:t>7</w:t>
      </w:r>
      <w:r>
        <w:rPr>
          <w:rFonts w:hint="eastAsia" w:ascii="宋体" w:hAnsi="宋体" w:eastAsia="宋体" w:cs="宋体"/>
          <w:color w:val="auto"/>
          <w:sz w:val="40"/>
          <w:szCs w:val="40"/>
        </w:rPr>
        <w:t>年度温州市残疾人联合会部门决算</w:t>
      </w:r>
      <w:r>
        <w:rPr>
          <w:rFonts w:hint="eastAsia" w:ascii="宋体" w:hAnsi="宋体" w:eastAsia="宋体" w:cs="宋体"/>
          <w:color w:val="auto"/>
          <w:sz w:val="40"/>
          <w:szCs w:val="40"/>
          <w:lang w:eastAsia="zh-CN"/>
        </w:rPr>
        <w:t>公开</w:t>
      </w:r>
    </w:p>
    <w:p>
      <w:pPr>
        <w:autoSpaceDE w:val="0"/>
        <w:autoSpaceDN w:val="0"/>
        <w:adjustRightInd w:val="0"/>
        <w:spacing w:line="560" w:lineRule="exact"/>
        <w:ind w:firstLine="590"/>
        <w:rPr>
          <w:rFonts w:hint="eastAsia" w:ascii="宋体" w:hAnsi="宋体" w:eastAsia="宋体" w:cs="宋体"/>
          <w:color w:val="auto"/>
          <w:sz w:val="44"/>
          <w:szCs w:val="44"/>
        </w:rPr>
      </w:pP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一、2017年度部门决算概况</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（一）主要职能</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32"/>
          <w:szCs w:val="32"/>
        </w:rPr>
        <w:t xml:space="preserve">   </w:t>
      </w:r>
      <w:r>
        <w:rPr>
          <w:rFonts w:hint="eastAsia" w:ascii="宋体" w:hAnsi="宋体" w:eastAsia="宋体" w:cs="宋体"/>
          <w:color w:val="auto"/>
          <w:sz w:val="20"/>
          <w:szCs w:val="20"/>
        </w:rPr>
        <w:t xml:space="preserve"> 1、贯彻执行党和国家有关残疾人工作的方针、政策；配合有关部门起草有关发展残疾人事业的规范性文件；协助政府研究制定我市残疾人事业发展规划、计划。</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2、听取残疾人意见，反映残疾人需求，维护残疾人权益，为残疾人服务。</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3、开展和促进残疾人健康、教育、劳动就业、培训、文化、体育、用品供应、福利、残疾预防和无障碍设施建设等工作，创造良好的环境和条件，扶助残疾人平等参与社会生活。</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4、团结、教育残疾人遵守法律，履行应尽的义务，发扬乐观进去精神，自尊、自信、自强、自立，为社会主义建设作出贡献。</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5、沟通政府、社会与残疾人之间的联系，动员社会理解、尊重、关心、帮助残疾人。</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6、承担市残疾人工作协调委员会和市残疾人福利基金会的日常工作。</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7、指导和管理各类残疾人社团组织。</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8、开展残疾人事业的国际交流与合作。</w:t>
      </w:r>
    </w:p>
    <w:p>
      <w:pPr>
        <w:spacing w:line="360" w:lineRule="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    9、指导县（市、区）残联的业务工作。</w:t>
      </w:r>
    </w:p>
    <w:p>
      <w:pPr>
        <w:spacing w:line="360" w:lineRule="auto"/>
        <w:rPr>
          <w:rFonts w:hint="eastAsia" w:ascii="宋体" w:hAnsi="宋体" w:eastAsia="宋体" w:cs="宋体"/>
          <w:color w:val="auto"/>
          <w:sz w:val="32"/>
          <w:szCs w:val="32"/>
        </w:rPr>
      </w:pPr>
      <w:r>
        <w:rPr>
          <w:rFonts w:hint="eastAsia" w:ascii="宋体" w:hAnsi="宋体" w:eastAsia="宋体" w:cs="宋体"/>
          <w:color w:val="auto"/>
          <w:sz w:val="20"/>
          <w:szCs w:val="20"/>
        </w:rPr>
        <w:t xml:space="preserve">    10、承办市委、市政府和上级残联交办的其他工作。</w:t>
      </w:r>
    </w:p>
    <w:p>
      <w:pPr>
        <w:autoSpaceDE w:val="0"/>
        <w:autoSpaceDN w:val="0"/>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（二）部门决算单位构成</w:t>
      </w:r>
    </w:p>
    <w:p>
      <w:pPr>
        <w:spacing w:line="360" w:lineRule="auto"/>
        <w:rPr>
          <w:rFonts w:hint="eastAsia" w:ascii="宋体" w:hAnsi="宋体" w:eastAsia="宋体" w:cs="宋体"/>
          <w:color w:val="auto"/>
          <w:sz w:val="32"/>
          <w:szCs w:val="32"/>
        </w:rPr>
      </w:pPr>
      <w:r>
        <w:rPr>
          <w:rFonts w:hint="eastAsia" w:ascii="宋体" w:hAnsi="宋体" w:eastAsia="宋体" w:cs="宋体"/>
          <w:color w:val="auto"/>
          <w:sz w:val="21"/>
          <w:szCs w:val="21"/>
        </w:rPr>
        <w:t>201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年度温州市残疾人联合会部门决算包括：市残联本级及所属两个事业单位决算，具体如下：</w:t>
      </w:r>
    </w:p>
    <w:tbl>
      <w:tblPr>
        <w:tblStyle w:val="6"/>
        <w:tblW w:w="6730" w:type="dxa"/>
        <w:jc w:val="center"/>
        <w:tblInd w:w="-377" w:type="dxa"/>
        <w:tblLayout w:type="fixed"/>
        <w:tblCellMar>
          <w:top w:w="0" w:type="dxa"/>
          <w:left w:w="108" w:type="dxa"/>
          <w:bottom w:w="0" w:type="dxa"/>
          <w:right w:w="108" w:type="dxa"/>
        </w:tblCellMar>
      </w:tblPr>
      <w:tblGrid>
        <w:gridCol w:w="1230"/>
        <w:gridCol w:w="5500"/>
      </w:tblGrid>
      <w:tr>
        <w:tblPrEx>
          <w:tblLayout w:type="fixed"/>
          <w:tblCellMar>
            <w:top w:w="0" w:type="dxa"/>
            <w:left w:w="108" w:type="dxa"/>
            <w:bottom w:w="0" w:type="dxa"/>
            <w:right w:w="108" w:type="dxa"/>
          </w:tblCellMar>
        </w:tblPrEx>
        <w:trPr>
          <w:trHeight w:val="51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序号</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单位名称</w:t>
            </w:r>
          </w:p>
        </w:tc>
      </w:tr>
      <w:tr>
        <w:tblPrEx>
          <w:tblLayout w:type="fixed"/>
          <w:tblCellMar>
            <w:top w:w="0" w:type="dxa"/>
            <w:left w:w="108" w:type="dxa"/>
            <w:bottom w:w="0" w:type="dxa"/>
            <w:right w:w="108" w:type="dxa"/>
          </w:tblCellMar>
        </w:tblPrEx>
        <w:trPr>
          <w:trHeight w:val="510" w:hRule="atLeast"/>
          <w:jc w:val="center"/>
        </w:trPr>
        <w:tc>
          <w:tcPr>
            <w:tcW w:w="12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5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sz w:val="28"/>
                <w:szCs w:val="28"/>
                <w:lang w:val="zh-CN"/>
              </w:rPr>
              <w:t>温州市残疾人联合会本级</w:t>
            </w:r>
          </w:p>
        </w:tc>
      </w:tr>
      <w:tr>
        <w:tblPrEx>
          <w:tblLayout w:type="fixed"/>
          <w:tblCellMar>
            <w:top w:w="0" w:type="dxa"/>
            <w:left w:w="108" w:type="dxa"/>
            <w:bottom w:w="0" w:type="dxa"/>
            <w:right w:w="108" w:type="dxa"/>
          </w:tblCellMar>
        </w:tblPrEx>
        <w:trPr>
          <w:trHeight w:val="51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温州市残疾人劳动就业服务部</w:t>
            </w:r>
          </w:p>
        </w:tc>
      </w:tr>
      <w:tr>
        <w:tblPrEx>
          <w:tblLayout w:type="fixed"/>
          <w:tblCellMar>
            <w:top w:w="0" w:type="dxa"/>
            <w:left w:w="108" w:type="dxa"/>
            <w:bottom w:w="0" w:type="dxa"/>
            <w:right w:w="108" w:type="dxa"/>
          </w:tblCellMar>
        </w:tblPrEx>
        <w:trPr>
          <w:trHeight w:val="510" w:hRule="atLeast"/>
          <w:jc w:val="center"/>
        </w:trPr>
        <w:tc>
          <w:tcPr>
            <w:tcW w:w="12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p>
        </w:tc>
        <w:tc>
          <w:tcPr>
            <w:tcW w:w="5500" w:type="dxa"/>
            <w:tcBorders>
              <w:top w:val="nil"/>
              <w:left w:val="nil"/>
              <w:bottom w:val="single" w:color="auto" w:sz="4" w:space="0"/>
              <w:right w:val="single" w:color="auto" w:sz="4" w:space="0"/>
            </w:tcBorders>
            <w:vAlign w:val="center"/>
          </w:tcPr>
          <w:p>
            <w:pPr>
              <w:widowControl/>
              <w:ind w:firstLine="280" w:firstLineChars="100"/>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温州市残疾人康复服务指导中心</w:t>
            </w:r>
          </w:p>
        </w:tc>
      </w:tr>
    </w:tbl>
    <w:p>
      <w:pPr>
        <w:autoSpaceDE w:val="0"/>
        <w:autoSpaceDN w:val="0"/>
        <w:adjustRightInd w:val="0"/>
        <w:spacing w:line="560" w:lineRule="exact"/>
        <w:ind w:firstLine="627"/>
        <w:rPr>
          <w:rFonts w:hint="eastAsia" w:ascii="宋体" w:hAnsi="宋体" w:eastAsia="宋体" w:cs="宋体"/>
          <w:color w:val="000000"/>
          <w:sz w:val="24"/>
          <w:szCs w:val="24"/>
        </w:rPr>
      </w:pPr>
    </w:p>
    <w:p>
      <w:pPr>
        <w:autoSpaceDE w:val="0"/>
        <w:autoSpaceDN w:val="0"/>
        <w:adjustRightInd w:val="0"/>
        <w:spacing w:line="560" w:lineRule="exact"/>
        <w:ind w:firstLine="627"/>
        <w:rPr>
          <w:rFonts w:hint="eastAsia" w:ascii="宋体" w:hAnsi="宋体" w:eastAsia="宋体" w:cs="宋体"/>
          <w:color w:val="000000"/>
          <w:sz w:val="24"/>
          <w:szCs w:val="24"/>
        </w:rPr>
      </w:pPr>
    </w:p>
    <w:p>
      <w:pPr>
        <w:autoSpaceDE w:val="0"/>
        <w:autoSpaceDN w:val="0"/>
        <w:adjustRightInd w:val="0"/>
        <w:spacing w:line="560" w:lineRule="exact"/>
        <w:ind w:firstLine="627"/>
        <w:rPr>
          <w:rFonts w:hint="eastAsia" w:ascii="宋体" w:hAnsi="宋体" w:eastAsia="宋体" w:cs="宋体"/>
          <w:color w:val="000000"/>
          <w:sz w:val="24"/>
          <w:szCs w:val="24"/>
        </w:rPr>
      </w:pP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color w:val="000000"/>
          <w:sz w:val="24"/>
          <w:szCs w:val="24"/>
        </w:rPr>
        <w:t>二、</w:t>
      </w:r>
      <w:r>
        <w:rPr>
          <w:rFonts w:hint="eastAsia" w:ascii="宋体" w:hAnsi="宋体" w:eastAsia="宋体" w:cs="宋体"/>
          <w:sz w:val="24"/>
          <w:szCs w:val="24"/>
          <w:lang w:val="zh-CN"/>
        </w:rPr>
        <w:t>2017年度部门决算报表</w:t>
      </w:r>
    </w:p>
    <w:p>
      <w:pPr>
        <w:autoSpaceDE w:val="0"/>
        <w:autoSpaceDN w:val="0"/>
        <w:adjustRightInd w:val="0"/>
        <w:spacing w:line="560" w:lineRule="exact"/>
        <w:ind w:firstLine="627"/>
        <w:rPr>
          <w:rFonts w:hint="eastAsia" w:ascii="宋体" w:hAnsi="宋体" w:eastAsia="宋体" w:cs="宋体"/>
          <w:sz w:val="24"/>
          <w:szCs w:val="24"/>
        </w:rPr>
      </w:pPr>
    </w:p>
    <w:tbl>
      <w:tblPr>
        <w:tblStyle w:val="6"/>
        <w:tblW w:w="8860" w:type="dxa"/>
        <w:tblInd w:w="93" w:type="dxa"/>
        <w:tblLayout w:type="fixed"/>
        <w:tblCellMar>
          <w:top w:w="0" w:type="dxa"/>
          <w:left w:w="108" w:type="dxa"/>
          <w:bottom w:w="0" w:type="dxa"/>
          <w:right w:w="108" w:type="dxa"/>
        </w:tblCellMar>
      </w:tblPr>
      <w:tblGrid>
        <w:gridCol w:w="2283"/>
        <w:gridCol w:w="1063"/>
        <w:gridCol w:w="805"/>
        <w:gridCol w:w="2690"/>
        <w:gridCol w:w="2019"/>
      </w:tblGrid>
      <w:tr>
        <w:tblPrEx>
          <w:tblLayout w:type="fixed"/>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shd w:val="clear" w:color="auto" w:fill="auto"/>
            <w:vAlign w:val="bottom"/>
          </w:tcPr>
          <w:p>
            <w:pPr>
              <w:autoSpaceDE w:val="0"/>
              <w:autoSpaceDN w:val="0"/>
              <w:adjustRightInd w:val="0"/>
              <w:spacing w:line="560" w:lineRule="exact"/>
              <w:ind w:firstLine="627"/>
              <w:jc w:val="center"/>
              <w:rPr>
                <w:rFonts w:hint="eastAsia" w:ascii="宋体" w:hAnsi="宋体" w:eastAsia="宋体" w:cs="宋体"/>
                <w:b/>
                <w:sz w:val="32"/>
                <w:szCs w:val="32"/>
              </w:rPr>
            </w:pPr>
            <w:r>
              <w:rPr>
                <w:rFonts w:hint="eastAsia" w:ascii="宋体" w:hAnsi="宋体" w:eastAsia="宋体" w:cs="宋体"/>
                <w:b/>
                <w:sz w:val="32"/>
                <w:szCs w:val="32"/>
              </w:rPr>
              <w:t>2017年度部门收支决算总表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805"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0"/>
                <w:szCs w:val="20"/>
              </w:rPr>
              <w:t>温州市残疾人联合会（汇总）</w:t>
            </w:r>
          </w:p>
        </w:tc>
        <w:tc>
          <w:tcPr>
            <w:tcW w:w="805"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支出</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决算数</w:t>
            </w:r>
          </w:p>
        </w:tc>
      </w:tr>
      <w:tr>
        <w:tblPrEx>
          <w:tblLayout w:type="fixed"/>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2708.17</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129.89</w:t>
            </w: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2579.45</w:t>
            </w: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40.07</w:t>
            </w: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88.65</w:t>
            </w: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129.89</w:t>
            </w: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0.12</w:t>
            </w: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0.12</w:t>
            </w: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0.12</w:t>
            </w: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0.12</w:t>
            </w: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2838.17</w:t>
            </w:r>
            <w:r>
              <w:rPr>
                <w:rFonts w:hint="eastAsia" w:ascii="宋体" w:hAnsi="宋体" w:eastAsia="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2838.17</w:t>
            </w:r>
            <w:r>
              <w:rPr>
                <w:rFonts w:hint="eastAsia" w:ascii="宋体" w:hAnsi="宋体" w:eastAsia="宋体" w:cs="宋体"/>
                <w:color w:val="000000"/>
                <w:kern w:val="0"/>
                <w:sz w:val="18"/>
                <w:szCs w:val="18"/>
              </w:rPr>
              <w:t>　　</w:t>
            </w:r>
          </w:p>
        </w:tc>
      </w:tr>
    </w:tbl>
    <w:p>
      <w:pPr>
        <w:autoSpaceDE w:val="0"/>
        <w:autoSpaceDN w:val="0"/>
        <w:adjustRightInd w:val="0"/>
        <w:spacing w:line="560" w:lineRule="exact"/>
        <w:rPr>
          <w:rFonts w:hint="eastAsia" w:ascii="宋体" w:hAnsi="宋体" w:eastAsia="宋体" w:cs="宋体"/>
          <w:sz w:val="32"/>
          <w:szCs w:val="32"/>
          <w:lang w:val="zh-CN"/>
        </w:rPr>
      </w:pPr>
    </w:p>
    <w:tbl>
      <w:tblPr>
        <w:tblStyle w:val="6"/>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Layout w:type="fixed"/>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43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bl>
    <w:p>
      <w:pPr>
        <w:autoSpaceDE w:val="0"/>
        <w:autoSpaceDN w:val="0"/>
        <w:adjustRightInd w:val="0"/>
        <w:spacing w:line="560" w:lineRule="exact"/>
        <w:rPr>
          <w:rFonts w:hint="eastAsia" w:ascii="宋体" w:hAnsi="宋体" w:eastAsia="宋体" w:cs="宋体"/>
          <w:sz w:val="32"/>
          <w:szCs w:val="32"/>
        </w:rPr>
      </w:pPr>
    </w:p>
    <w:p>
      <w:pPr>
        <w:autoSpaceDE w:val="0"/>
        <w:autoSpaceDN w:val="0"/>
        <w:adjustRightInd w:val="0"/>
        <w:spacing w:line="560" w:lineRule="exact"/>
        <w:ind w:firstLine="627"/>
        <w:jc w:val="center"/>
        <w:rPr>
          <w:rFonts w:hint="eastAsia" w:ascii="宋体" w:hAnsi="宋体" w:eastAsia="宋体" w:cs="宋体"/>
          <w:b/>
          <w:sz w:val="32"/>
          <w:szCs w:val="32"/>
        </w:rPr>
      </w:pPr>
      <w:r>
        <w:rPr>
          <w:rFonts w:hint="eastAsia" w:ascii="宋体" w:hAnsi="宋体" w:eastAsia="宋体" w:cs="宋体"/>
          <w:b/>
          <w:sz w:val="32"/>
          <w:szCs w:val="32"/>
        </w:rPr>
        <w:t>2017年度部门收入决算总表(分单位）</w:t>
      </w:r>
    </w:p>
    <w:tbl>
      <w:tblPr>
        <w:tblStyle w:val="6"/>
        <w:tblW w:w="27117" w:type="dxa"/>
        <w:tblInd w:w="93" w:type="dxa"/>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Layout w:type="fixed"/>
          <w:tblCellMar>
            <w:top w:w="0" w:type="dxa"/>
            <w:left w:w="108" w:type="dxa"/>
            <w:bottom w:w="0" w:type="dxa"/>
            <w:right w:w="108" w:type="dxa"/>
          </w:tblCellMar>
        </w:tblPrEx>
        <w:trPr>
          <w:trHeight w:val="255" w:hRule="atLeast"/>
        </w:trPr>
        <w:tc>
          <w:tcPr>
            <w:tcW w:w="19437" w:type="dxa"/>
            <w:tcBorders>
              <w:top w:val="nil"/>
              <w:left w:val="nil"/>
              <w:bottom w:val="nil"/>
              <w:right w:val="nil"/>
            </w:tcBorders>
            <w:shd w:val="clear" w:color="auto" w:fill="auto"/>
            <w:vAlign w:val="bottom"/>
          </w:tcPr>
          <w:tbl>
            <w:tblPr>
              <w:tblStyle w:val="6"/>
              <w:tblW w:w="8880" w:type="dxa"/>
              <w:tblInd w:w="0" w:type="dxa"/>
              <w:tblLayout w:type="fixed"/>
              <w:tblCellMar>
                <w:top w:w="0" w:type="dxa"/>
                <w:left w:w="108" w:type="dxa"/>
                <w:bottom w:w="0" w:type="dxa"/>
                <w:right w:w="108" w:type="dxa"/>
              </w:tblCellMar>
            </w:tblPr>
            <w:tblGrid>
              <w:gridCol w:w="1840"/>
              <w:gridCol w:w="640"/>
              <w:gridCol w:w="640"/>
              <w:gridCol w:w="640"/>
              <w:gridCol w:w="640"/>
              <w:gridCol w:w="640"/>
              <w:gridCol w:w="640"/>
              <w:gridCol w:w="640"/>
              <w:gridCol w:w="640"/>
              <w:gridCol w:w="640"/>
              <w:gridCol w:w="640"/>
              <w:gridCol w:w="640"/>
            </w:tblGrid>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公开02-1表</w:t>
                  </w:r>
                </w:p>
              </w:tc>
            </w:tr>
            <w:tr>
              <w:tblPrEx>
                <w:tblLayout w:type="fixed"/>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0"/>
                      <w:szCs w:val="20"/>
                    </w:rPr>
                    <w:t>温州市残疾人联合会（汇总）</w:t>
                  </w: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20" w:type="dxa"/>
                  <w:gridSpan w:val="3"/>
                  <w:tcBorders>
                    <w:top w:val="nil"/>
                    <w:left w:val="nil"/>
                    <w:bottom w:val="single" w:color="000000" w:sz="8" w:space="0"/>
                    <w:right w:val="nil"/>
                  </w:tcBorders>
                  <w:shd w:val="clear" w:color="auto" w:fill="auto"/>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单位名称</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上年结转</w:t>
                  </w:r>
                </w:p>
              </w:tc>
              <w:tc>
                <w:tcPr>
                  <w:tcW w:w="19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  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2708.17</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129.88</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20"/>
                      <w:szCs w:val="20"/>
                    </w:rPr>
                    <w:t>温州市残疾人联合会</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1935.34</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1935.34</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1921.30</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14.04</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　</w:t>
                  </w:r>
                  <w:r>
                    <w:rPr>
                      <w:rFonts w:hint="eastAsia" w:ascii="宋体" w:hAnsi="宋体" w:eastAsia="宋体" w:cs="宋体"/>
                      <w:color w:val="auto"/>
                      <w:kern w:val="0"/>
                      <w:sz w:val="20"/>
                      <w:szCs w:val="20"/>
                    </w:rPr>
                    <w:t>温州市残疾人劳动就业服务部</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221.18</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221.18</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217.74</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3.44</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　</w:t>
                  </w:r>
                  <w:r>
                    <w:rPr>
                      <w:rFonts w:hint="eastAsia" w:ascii="宋体" w:hAnsi="宋体" w:eastAsia="宋体" w:cs="宋体"/>
                      <w:color w:val="auto"/>
                      <w:kern w:val="0"/>
                      <w:sz w:val="20"/>
                      <w:szCs w:val="20"/>
                    </w:rPr>
                    <w:t>温州市残疾人康复服务指导中心</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681.53</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681.53</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569.13</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112.4</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r>
          </w:tbl>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2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公开02-2表</w:t>
            </w:r>
          </w:p>
        </w:tc>
      </w:tr>
      <w:tr>
        <w:tblPrEx>
          <w:tblLayout w:type="fixed"/>
          <w:tblCellMar>
            <w:top w:w="0" w:type="dxa"/>
            <w:left w:w="108" w:type="dxa"/>
            <w:bottom w:w="0" w:type="dxa"/>
            <w:right w:w="108" w:type="dxa"/>
          </w:tblCellMar>
        </w:tblPrEx>
        <w:trPr>
          <w:trHeight w:val="270" w:hRule="atLeast"/>
        </w:trPr>
        <w:tc>
          <w:tcPr>
            <w:tcW w:w="19437" w:type="dxa"/>
            <w:tcBorders>
              <w:top w:val="nil"/>
              <w:left w:val="nil"/>
              <w:bottom w:val="nil"/>
              <w:right w:val="nil"/>
            </w:tcBorders>
            <w:shd w:val="clear" w:color="auto" w:fill="auto"/>
            <w:vAlign w:val="bottom"/>
          </w:tcPr>
          <w:p>
            <w:pPr>
              <w:autoSpaceDE w:val="0"/>
              <w:autoSpaceDN w:val="0"/>
              <w:adjustRightInd w:val="0"/>
              <w:spacing w:line="560" w:lineRule="exact"/>
              <w:ind w:firstLine="1590" w:firstLineChars="495"/>
              <w:rPr>
                <w:rFonts w:hint="eastAsia" w:ascii="宋体" w:hAnsi="宋体" w:eastAsia="宋体" w:cs="宋体"/>
                <w:b/>
                <w:sz w:val="32"/>
                <w:szCs w:val="32"/>
              </w:rPr>
            </w:pPr>
            <w:r>
              <w:rPr>
                <w:rFonts w:hint="eastAsia" w:ascii="宋体" w:hAnsi="宋体" w:eastAsia="宋体" w:cs="宋体"/>
                <w:b/>
                <w:sz w:val="32"/>
                <w:szCs w:val="32"/>
              </w:rPr>
              <w:t>2017年度部门收入决算总表(分科目）</w:t>
            </w:r>
          </w:p>
          <w:tbl>
            <w:tblPr>
              <w:tblStyle w:val="6"/>
              <w:tblW w:w="19128" w:type="dxa"/>
              <w:tblInd w:w="93" w:type="dxa"/>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Layout w:type="fixed"/>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vAlign w:val="bottom"/>
                </w:tcPr>
                <w:p>
                  <w:pPr>
                    <w:rPr>
                      <w:rFonts w:hint="eastAsia" w:ascii="宋体" w:hAnsi="宋体" w:eastAsia="宋体" w:cs="宋体"/>
                    </w:rPr>
                  </w:pPr>
                </w:p>
                <w:tbl>
                  <w:tblPr>
                    <w:tblStyle w:val="6"/>
                    <w:tblW w:w="9102" w:type="dxa"/>
                    <w:tblInd w:w="0" w:type="dxa"/>
                    <w:tblLayout w:type="fixed"/>
                    <w:tblCellMar>
                      <w:top w:w="0" w:type="dxa"/>
                      <w:left w:w="108" w:type="dxa"/>
                      <w:bottom w:w="0" w:type="dxa"/>
                      <w:right w:w="108" w:type="dxa"/>
                    </w:tblCellMar>
                  </w:tblPr>
                  <w:tblGrid>
                    <w:gridCol w:w="900"/>
                    <w:gridCol w:w="992"/>
                    <w:gridCol w:w="142"/>
                    <w:gridCol w:w="668"/>
                    <w:gridCol w:w="640"/>
                    <w:gridCol w:w="640"/>
                    <w:gridCol w:w="640"/>
                    <w:gridCol w:w="640"/>
                    <w:gridCol w:w="640"/>
                    <w:gridCol w:w="640"/>
                    <w:gridCol w:w="640"/>
                    <w:gridCol w:w="640"/>
                    <w:gridCol w:w="640"/>
                    <w:gridCol w:w="640"/>
                  </w:tblGrid>
                  <w:tr>
                    <w:tblPrEx>
                      <w:tblLayout w:type="fixed"/>
                      <w:tblCellMar>
                        <w:top w:w="0" w:type="dxa"/>
                        <w:left w:w="108" w:type="dxa"/>
                        <w:bottom w:w="0" w:type="dxa"/>
                        <w:right w:w="108" w:type="dxa"/>
                      </w:tblCellMar>
                    </w:tblPrEx>
                    <w:trPr>
                      <w:trHeight w:val="255" w:hRule="atLeast"/>
                    </w:trPr>
                    <w:tc>
                      <w:tcPr>
                        <w:tcW w:w="9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992" w:type="dxa"/>
                        <w:tcBorders>
                          <w:top w:val="nil"/>
                          <w:left w:val="nil"/>
                          <w:bottom w:val="nil"/>
                          <w:right w:val="nil"/>
                        </w:tcBorders>
                      </w:tcPr>
                      <w:p>
                        <w:pPr>
                          <w:widowControl/>
                          <w:jc w:val="left"/>
                          <w:rPr>
                            <w:rFonts w:hint="eastAsia" w:ascii="宋体" w:hAnsi="宋体" w:eastAsia="宋体" w:cs="宋体"/>
                            <w:color w:val="000000"/>
                            <w:kern w:val="0"/>
                            <w:sz w:val="20"/>
                            <w:szCs w:val="20"/>
                          </w:rPr>
                        </w:pPr>
                      </w:p>
                    </w:tc>
                    <w:tc>
                      <w:tcPr>
                        <w:tcW w:w="810"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公开02-2表</w:t>
                        </w:r>
                      </w:p>
                    </w:tc>
                  </w:tr>
                  <w:tr>
                    <w:tblPrEx>
                      <w:tblLayout w:type="fixed"/>
                      <w:tblCellMar>
                        <w:top w:w="0" w:type="dxa"/>
                        <w:left w:w="108" w:type="dxa"/>
                        <w:bottom w:w="0" w:type="dxa"/>
                        <w:right w:w="108" w:type="dxa"/>
                      </w:tblCellMar>
                    </w:tblPrEx>
                    <w:trPr>
                      <w:trHeight w:val="270" w:hRule="atLeast"/>
                    </w:trPr>
                    <w:tc>
                      <w:tcPr>
                        <w:tcW w:w="90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992" w:type="dxa"/>
                        <w:tcBorders>
                          <w:top w:val="nil"/>
                          <w:left w:val="nil"/>
                          <w:bottom w:val="single" w:color="auto" w:sz="4" w:space="0"/>
                          <w:right w:val="nil"/>
                        </w:tcBorders>
                      </w:tcPr>
                      <w:p>
                        <w:pPr>
                          <w:widowControl/>
                          <w:jc w:val="left"/>
                          <w:rPr>
                            <w:rFonts w:hint="eastAsia" w:ascii="宋体" w:hAnsi="宋体" w:eastAsia="宋体" w:cs="宋体"/>
                            <w:color w:val="000000"/>
                            <w:kern w:val="0"/>
                            <w:sz w:val="20"/>
                            <w:szCs w:val="20"/>
                          </w:rPr>
                        </w:pPr>
                        <w:r>
                          <w:rPr>
                            <w:rFonts w:hint="eastAsia" w:ascii="宋体" w:hAnsi="宋体" w:eastAsia="宋体" w:cs="宋体"/>
                            <w:color w:val="auto"/>
                            <w:kern w:val="0"/>
                            <w:sz w:val="20"/>
                            <w:szCs w:val="20"/>
                          </w:rPr>
                          <w:t>温州市残疾人联合会（汇总）</w:t>
                        </w:r>
                      </w:p>
                    </w:tc>
                    <w:tc>
                      <w:tcPr>
                        <w:tcW w:w="810" w:type="dxa"/>
                        <w:gridSpan w:val="2"/>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20" w:type="dxa"/>
                        <w:gridSpan w:val="3"/>
                        <w:tcBorders>
                          <w:top w:val="nil"/>
                          <w:left w:val="nil"/>
                          <w:bottom w:val="single" w:color="auto" w:sz="4" w:space="0"/>
                          <w:right w:val="nil"/>
                        </w:tcBorders>
                        <w:shd w:val="clear" w:color="auto" w:fill="auto"/>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900" w:type="dxa"/>
                        <w:vMerge w:val="restart"/>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668"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640" w:type="dxa"/>
                        <w:vMerge w:val="restart"/>
                        <w:tcBorders>
                          <w:top w:val="single" w:color="auto" w:sz="4" w:space="0"/>
                          <w:left w:val="single" w:color="auto"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上年结转</w:t>
                        </w:r>
                      </w:p>
                    </w:tc>
                    <w:tc>
                      <w:tcPr>
                        <w:tcW w:w="1920" w:type="dxa"/>
                        <w:gridSpan w:val="3"/>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财政拨款</w:t>
                        </w:r>
                      </w:p>
                    </w:tc>
                    <w:tc>
                      <w:tcPr>
                        <w:tcW w:w="640" w:type="dxa"/>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事业收入</w:t>
                        </w:r>
                      </w:p>
                    </w:tc>
                    <w:tc>
                      <w:tcPr>
                        <w:tcW w:w="640" w:type="dxa"/>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经营收入</w:t>
                        </w:r>
                      </w:p>
                    </w:tc>
                    <w:tc>
                      <w:tcPr>
                        <w:tcW w:w="640" w:type="dxa"/>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其他收入</w:t>
                        </w:r>
                      </w:p>
                    </w:tc>
                    <w:tc>
                      <w:tcPr>
                        <w:tcW w:w="640" w:type="dxa"/>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上级补助收入</w:t>
                        </w:r>
                      </w:p>
                    </w:tc>
                    <w:tc>
                      <w:tcPr>
                        <w:tcW w:w="640" w:type="dxa"/>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附属单位上缴收入</w:t>
                        </w:r>
                      </w:p>
                    </w:tc>
                    <w:tc>
                      <w:tcPr>
                        <w:tcW w:w="640" w:type="dxa"/>
                        <w:vMerge w:val="restart"/>
                        <w:tcBorders>
                          <w:top w:val="single" w:color="auto" w:sz="4" w:space="0"/>
                          <w:left w:val="nil"/>
                          <w:bottom w:val="single" w:color="000000"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900"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34"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eastAsia="宋体" w:cs="宋体"/>
                            <w:color w:val="000000"/>
                            <w:kern w:val="0"/>
                            <w:sz w:val="18"/>
                            <w:szCs w:val="18"/>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40" w:type="dxa"/>
                        <w:vMerge w:val="continue"/>
                        <w:tcBorders>
                          <w:top w:val="nil"/>
                          <w:left w:val="nil"/>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034" w:type="dxa"/>
                        <w:gridSpan w:val="3"/>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  次</w:t>
                        </w:r>
                      </w:p>
                    </w:tc>
                    <w:tc>
                      <w:tcPr>
                        <w:tcW w:w="668"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640" w:type="dxa"/>
                        <w:tcBorders>
                          <w:top w:val="nil"/>
                          <w:left w:val="nil"/>
                          <w:bottom w:val="single" w:color="000000"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r>
                  <w:tr>
                    <w:tblPrEx>
                      <w:tblLayout w:type="fixed"/>
                    </w:tblPrEx>
                    <w:trPr>
                      <w:trHeight w:val="308" w:hRule="atLeast"/>
                    </w:trPr>
                    <w:tc>
                      <w:tcPr>
                        <w:tcW w:w="2034" w:type="dxa"/>
                        <w:gridSpan w:val="3"/>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668"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机关事业单位基本养老保险缴费支出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14.76</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14.76</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14.76</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机关事业单位职业年金缴费支出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4.00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4.00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行政运行</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381.56</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381.56</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381.56</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一般行政管理事务</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11.79</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11.79</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11.79</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2081104</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残疾人康复</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24.30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24.30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24.30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其他残疾人事业支出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2143.03</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2143.03</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2143.03</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auto"/>
                            <w:kern w:val="0"/>
                            <w:sz w:val="18"/>
                            <w:szCs w:val="18"/>
                          </w:rPr>
                          <w:t>210</w:t>
                        </w:r>
                        <w:r>
                          <w:rPr>
                            <w:rFonts w:hint="eastAsia" w:ascii="宋体" w:hAnsi="宋体" w:eastAsia="宋体" w:cs="宋体"/>
                            <w:color w:val="auto"/>
                            <w:kern w:val="0"/>
                            <w:sz w:val="18"/>
                            <w:szCs w:val="18"/>
                            <w:lang w:val="en-US" w:eastAsia="zh-CN"/>
                          </w:rPr>
                          <w:t>1101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行政单位医疗</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14.37</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14.37</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14.37</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2101102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事业单位医疗</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25.70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25.70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25.70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2210201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住房公积金</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67.08</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67.08</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67.08</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2210203</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购房补贴</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21.57</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21.57</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21.57</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2290400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其他政府性基金及对应专项债务收入安排的支出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124.89</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124.89</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124.89</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2296006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用于残疾人事业的彩票公益金支出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5.00</w:t>
                        </w:r>
                        <w:r>
                          <w:rPr>
                            <w:rFonts w:hint="eastAsia" w:ascii="宋体" w:hAnsi="宋体" w:eastAsia="宋体" w:cs="宋体"/>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5.00</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5.00</w:t>
                        </w: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hint="eastAsia" w:ascii="宋体" w:hAnsi="宋体" w:eastAsia="宋体" w:cs="宋体"/>
                            <w:color w:val="000000"/>
                            <w:kern w:val="0"/>
                            <w:sz w:val="18"/>
                            <w:szCs w:val="18"/>
                          </w:rPr>
                        </w:pP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tcBorders>
                          <w:top w:val="nil"/>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hint="eastAsia" w:ascii="宋体" w:hAnsi="宋体" w:eastAsia="宋体" w:cs="宋体"/>
                            <w:color w:val="000000"/>
                            <w:kern w:val="0"/>
                            <w:sz w:val="18"/>
                            <w:szCs w:val="18"/>
                          </w:rPr>
                        </w:pP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single" w:color="auto" w:sz="4" w:space="0"/>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0" w:type="dxa"/>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88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公开02-1表</w:t>
                  </w:r>
                </w:p>
              </w:tc>
            </w:tr>
          </w:tbl>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bl>
    <w:p>
      <w:pPr>
        <w:autoSpaceDE w:val="0"/>
        <w:autoSpaceDN w:val="0"/>
        <w:adjustRightInd w:val="0"/>
        <w:spacing w:line="560" w:lineRule="exact"/>
        <w:jc w:val="center"/>
        <w:rPr>
          <w:rFonts w:hint="eastAsia" w:ascii="宋体" w:hAnsi="宋体" w:eastAsia="宋体" w:cs="宋体"/>
          <w:b/>
          <w:sz w:val="32"/>
          <w:szCs w:val="32"/>
        </w:rPr>
      </w:pPr>
    </w:p>
    <w:p>
      <w:pPr>
        <w:autoSpaceDE w:val="0"/>
        <w:autoSpaceDN w:val="0"/>
        <w:adjustRightInd w:val="0"/>
        <w:spacing w:line="560" w:lineRule="exact"/>
        <w:jc w:val="center"/>
        <w:rPr>
          <w:rFonts w:hint="eastAsia" w:ascii="宋体" w:hAnsi="宋体" w:eastAsia="宋体" w:cs="宋体"/>
          <w:b/>
          <w:sz w:val="32"/>
          <w:szCs w:val="32"/>
        </w:rPr>
      </w:pPr>
      <w:r>
        <w:rPr>
          <w:rFonts w:hint="eastAsia" w:ascii="宋体" w:hAnsi="宋体" w:eastAsia="宋体" w:cs="宋体"/>
          <w:b/>
          <w:sz w:val="32"/>
          <w:szCs w:val="32"/>
        </w:rPr>
        <w:t>2017年度部门支出决算总表（分单位）</w:t>
      </w:r>
    </w:p>
    <w:tbl>
      <w:tblPr>
        <w:tblStyle w:val="6"/>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Layout w:type="fixed"/>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6"/>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Layout w:type="fixed"/>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公开03-1表</w:t>
                  </w:r>
                </w:p>
              </w:tc>
            </w:tr>
            <w:tr>
              <w:tblPrEx>
                <w:tblLayout w:type="fixed"/>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0"/>
                      <w:szCs w:val="20"/>
                    </w:rPr>
                    <w:t>温州市残疾人联合会（汇总）</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Layout w:type="fixed"/>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1050.64</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136.72</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1650.70</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20"/>
                      <w:szCs w:val="20"/>
                    </w:rPr>
                    <w:t>温州市残疾人联合会</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1935.34</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378.67</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51.00</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1505.67</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20"/>
                      <w:szCs w:val="20"/>
                    </w:rPr>
                    <w:t>温州市残疾人劳动就业服务部</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221.18</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131.13</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13.07</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76.98</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20"/>
                      <w:szCs w:val="20"/>
                    </w:rPr>
                    <w:t>温州市残疾人康复服务指导中心</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681.54</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540.84</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72.65</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68.05</w:t>
                  </w: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jc w:val="left"/>
              <w:rPr>
                <w:rFonts w:hint="eastAsia" w:ascii="宋体" w:hAnsi="宋体" w:eastAsia="宋体" w:cs="宋体"/>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00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公开03-2表</w:t>
            </w:r>
          </w:p>
        </w:tc>
      </w:tr>
    </w:tbl>
    <w:p>
      <w:pPr>
        <w:autoSpaceDE w:val="0"/>
        <w:autoSpaceDN w:val="0"/>
        <w:adjustRightInd w:val="0"/>
        <w:spacing w:line="560" w:lineRule="exact"/>
        <w:rPr>
          <w:rFonts w:hint="eastAsia" w:ascii="宋体" w:hAnsi="宋体" w:eastAsia="宋体" w:cs="宋体"/>
          <w:b/>
          <w:sz w:val="32"/>
          <w:szCs w:val="32"/>
        </w:rPr>
      </w:pPr>
    </w:p>
    <w:p>
      <w:pPr>
        <w:autoSpaceDE w:val="0"/>
        <w:autoSpaceDN w:val="0"/>
        <w:adjustRightInd w:val="0"/>
        <w:spacing w:line="560" w:lineRule="exact"/>
        <w:jc w:val="center"/>
        <w:rPr>
          <w:rFonts w:hint="eastAsia" w:ascii="宋体" w:hAnsi="宋体" w:eastAsia="宋体" w:cs="宋体"/>
          <w:b/>
          <w:sz w:val="32"/>
          <w:szCs w:val="32"/>
        </w:rPr>
      </w:pPr>
      <w:r>
        <w:rPr>
          <w:rFonts w:hint="eastAsia" w:ascii="宋体" w:hAnsi="宋体" w:eastAsia="宋体" w:cs="宋体"/>
          <w:b/>
          <w:sz w:val="32"/>
          <w:szCs w:val="32"/>
        </w:rPr>
        <w:t>2017年度部门支出决算总表（分科目）</w:t>
      </w:r>
    </w:p>
    <w:tbl>
      <w:tblPr>
        <w:tblStyle w:val="6"/>
        <w:tblW w:w="16336" w:type="dxa"/>
        <w:tblInd w:w="93" w:type="dxa"/>
        <w:tblLayout w:type="fixed"/>
        <w:tblCellMar>
          <w:top w:w="0" w:type="dxa"/>
          <w:left w:w="108" w:type="dxa"/>
          <w:bottom w:w="0" w:type="dxa"/>
          <w:right w:w="108" w:type="dxa"/>
        </w:tblCellMar>
      </w:tblPr>
      <w:tblGrid>
        <w:gridCol w:w="16336"/>
      </w:tblGrid>
      <w:tr>
        <w:tblPrEx>
          <w:tblLayout w:type="fixed"/>
          <w:tblCellMar>
            <w:top w:w="0" w:type="dxa"/>
            <w:left w:w="108" w:type="dxa"/>
            <w:bottom w:w="0" w:type="dxa"/>
            <w:right w:w="108" w:type="dxa"/>
          </w:tblCellMar>
        </w:tblPrEx>
        <w:trPr>
          <w:trHeight w:val="255" w:hRule="atLeast"/>
        </w:trPr>
        <w:tc>
          <w:tcPr>
            <w:tcW w:w="16336" w:type="dxa"/>
            <w:tcBorders>
              <w:top w:val="nil"/>
              <w:left w:val="nil"/>
              <w:bottom w:val="nil"/>
              <w:right w:val="nil"/>
            </w:tcBorders>
            <w:shd w:val="clear" w:color="auto" w:fill="auto"/>
            <w:vAlign w:val="bottom"/>
          </w:tcPr>
          <w:tbl>
            <w:tblPr>
              <w:tblStyle w:val="6"/>
              <w:tblW w:w="9688" w:type="dxa"/>
              <w:tblInd w:w="0" w:type="dxa"/>
              <w:tblLayout w:type="fixed"/>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blPrEx>
                <w:tblLayout w:type="fixed"/>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hint="eastAsia" w:ascii="宋体" w:hAnsi="宋体" w:eastAsia="宋体" w:cs="宋体"/>
                      <w:color w:val="000000"/>
                      <w:kern w:val="0"/>
                      <w:sz w:val="20"/>
                      <w:szCs w:val="20"/>
                    </w:rPr>
                  </w:pPr>
                </w:p>
              </w:tc>
              <w:tc>
                <w:tcPr>
                  <w:tcW w:w="1276"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1041" w:type="dxa"/>
                  <w:tcBorders>
                    <w:top w:val="nil"/>
                    <w:left w:val="nil"/>
                    <w:bottom w:val="single" w:color="auto" w:sz="4" w:space="0"/>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部门：</w:t>
                  </w:r>
                </w:p>
              </w:tc>
              <w:tc>
                <w:tcPr>
                  <w:tcW w:w="1276" w:type="dxa"/>
                  <w:tcBorders>
                    <w:top w:val="nil"/>
                    <w:left w:val="nil"/>
                    <w:bottom w:val="single" w:color="auto" w:sz="4" w:space="0"/>
                    <w:right w:val="nil"/>
                  </w:tcBorders>
                  <w:shd w:val="clear" w:color="000000" w:fill="FFFFFF"/>
                </w:tcPr>
                <w:p>
                  <w:pPr>
                    <w:widowControl/>
                    <w:jc w:val="left"/>
                    <w:rPr>
                      <w:rFonts w:hint="eastAsia" w:ascii="宋体" w:hAnsi="宋体" w:eastAsia="宋体" w:cs="宋体"/>
                      <w:color w:val="000000"/>
                      <w:kern w:val="0"/>
                      <w:sz w:val="20"/>
                      <w:szCs w:val="20"/>
                    </w:rPr>
                  </w:pPr>
                  <w:r>
                    <w:rPr>
                      <w:rFonts w:hint="eastAsia" w:ascii="宋体" w:hAnsi="宋体" w:eastAsia="宋体" w:cs="宋体"/>
                      <w:color w:val="auto"/>
                      <w:kern w:val="0"/>
                      <w:sz w:val="20"/>
                      <w:szCs w:val="20"/>
                    </w:rPr>
                    <w:t>温州市残疾人联合会（汇总）</w:t>
                  </w:r>
                </w:p>
              </w:tc>
              <w:tc>
                <w:tcPr>
                  <w:tcW w:w="1276" w:type="dxa"/>
                  <w:tcBorders>
                    <w:top w:val="nil"/>
                    <w:left w:val="nil"/>
                    <w:bottom w:val="single" w:color="auto" w:sz="4" w:space="0"/>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27" w:type="dxa"/>
                  <w:gridSpan w:val="2"/>
                  <w:tcBorders>
                    <w:top w:val="nil"/>
                    <w:left w:val="nil"/>
                    <w:bottom w:val="single" w:color="auto" w:sz="4" w:space="0"/>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9" w:type="dxa"/>
                  <w:tcBorders>
                    <w:top w:val="nil"/>
                    <w:left w:val="nil"/>
                    <w:bottom w:val="single" w:color="auto" w:sz="4" w:space="0"/>
                    <w:right w:val="nil"/>
                  </w:tcBorders>
                  <w:shd w:val="clear" w:color="000000" w:fill="FFFFFF"/>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2" w:type="dxa"/>
                  <w:tcBorders>
                    <w:top w:val="nil"/>
                    <w:left w:val="nil"/>
                    <w:bottom w:val="single" w:color="auto" w:sz="4" w:space="0"/>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9" w:type="dxa"/>
                  <w:gridSpan w:val="2"/>
                  <w:tcBorders>
                    <w:top w:val="nil"/>
                    <w:left w:val="nil"/>
                    <w:bottom w:val="single" w:color="auto" w:sz="4" w:space="0"/>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68" w:type="dxa"/>
                  <w:gridSpan w:val="2"/>
                  <w:tcBorders>
                    <w:top w:val="nil"/>
                    <w:left w:val="nil"/>
                    <w:bottom w:val="single" w:color="auto" w:sz="4" w:space="0"/>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1041" w:type="dxa"/>
                  <w:vMerge w:val="restart"/>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2126" w:type="dxa"/>
                  <w:gridSpan w:val="3"/>
                  <w:tcBorders>
                    <w:top w:val="single" w:color="auto" w:sz="4" w:space="0"/>
                    <w:left w:val="single" w:color="auto"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992" w:type="dxa"/>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项目支出</w:t>
                  </w:r>
                </w:p>
              </w:tc>
              <w:tc>
                <w:tcPr>
                  <w:tcW w:w="1134" w:type="dxa"/>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事业单位经营支出</w:t>
                  </w:r>
                </w:p>
              </w:tc>
              <w:tc>
                <w:tcPr>
                  <w:tcW w:w="851" w:type="dxa"/>
                  <w:gridSpan w:val="2"/>
                  <w:vMerge w:val="restart"/>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对附属单位补助支出</w:t>
                  </w:r>
                </w:p>
              </w:tc>
              <w:tc>
                <w:tcPr>
                  <w:tcW w:w="992" w:type="dxa"/>
                  <w:vMerge w:val="restart"/>
                  <w:tcBorders>
                    <w:top w:val="single" w:color="auto" w:sz="4" w:space="0"/>
                    <w:left w:val="nil"/>
                    <w:bottom w:val="single" w:color="000000"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eastAsia="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992" w:type="dxa"/>
                  <w:vMerge w:val="continue"/>
                  <w:tcBorders>
                    <w:top w:val="nil"/>
                    <w:left w:val="nil"/>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317" w:type="dxa"/>
                  <w:gridSpan w:val="2"/>
                  <w:tcBorders>
                    <w:top w:val="nil"/>
                    <w:left w:val="single" w:color="auto" w:sz="4" w:space="0"/>
                    <w:bottom w:val="single" w:color="000000"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992" w:type="dxa"/>
                  <w:tcBorders>
                    <w:top w:val="nil"/>
                    <w:left w:val="nil"/>
                    <w:bottom w:val="single" w:color="000000"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Layout w:type="fixed"/>
              </w:tblPrEx>
              <w:trPr>
                <w:trHeight w:val="308" w:hRule="atLeast"/>
              </w:trPr>
              <w:tc>
                <w:tcPr>
                  <w:tcW w:w="2317" w:type="dxa"/>
                  <w:gridSpan w:val="2"/>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2838.05</w:t>
                  </w: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1050.64</w:t>
                  </w:r>
                  <w:r>
                    <w:rPr>
                      <w:rFonts w:hint="eastAsia" w:ascii="宋体" w:hAnsi="宋体" w:eastAsia="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136.72</w:t>
                  </w: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1650.70</w:t>
                  </w:r>
                  <w:r>
                    <w:rPr>
                      <w:rFonts w:hint="eastAsia" w:ascii="宋体" w:hAnsi="宋体" w:eastAsia="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2080505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14.76</w:t>
                  </w:r>
                  <w:r>
                    <w:rPr>
                      <w:rFonts w:hint="eastAsia" w:ascii="宋体" w:hAnsi="宋体" w:eastAsia="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14.76</w:t>
                  </w:r>
                  <w:r>
                    <w:rPr>
                      <w:rFonts w:hint="eastAsia" w:ascii="宋体" w:hAnsi="宋体" w:eastAsia="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2080506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机关事业单位职业年金缴费支出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4.00</w:t>
                  </w:r>
                  <w:r>
                    <w:rPr>
                      <w:rFonts w:hint="eastAsia" w:ascii="宋体" w:hAnsi="宋体" w:eastAsia="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4.00</w:t>
                  </w:r>
                  <w:r>
                    <w:rPr>
                      <w:rFonts w:hint="eastAsia" w:ascii="宋体" w:hAnsi="宋体" w:eastAsia="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381.55</w:t>
                  </w:r>
                  <w:r>
                    <w:rPr>
                      <w:rFonts w:hint="eastAsia" w:ascii="宋体" w:hAnsi="宋体" w:eastAsia="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330.55</w:t>
                  </w:r>
                  <w:r>
                    <w:rPr>
                      <w:rFonts w:hint="eastAsia" w:ascii="宋体" w:hAnsi="宋体" w:eastAsia="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51.00</w:t>
                  </w: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auto" w:sz="4" w:space="0"/>
                    <w:bottom w:val="single" w:color="000000"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524.70</w:t>
                  </w:r>
                  <w:r>
                    <w:rPr>
                      <w:rFonts w:hint="eastAsia" w:ascii="宋体" w:hAnsi="宋体" w:eastAsia="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512.91</w:t>
                  </w:r>
                  <w:r>
                    <w:rPr>
                      <w:rFonts w:hint="eastAsia" w:ascii="宋体" w:hAnsi="宋体" w:eastAsia="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11.79</w:t>
                  </w:r>
                  <w:r>
                    <w:rPr>
                      <w:rFonts w:hint="eastAsia" w:ascii="宋体" w:hAnsi="宋体" w:eastAsia="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000000"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2081104</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残疾人康复</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24.30</w:t>
                  </w:r>
                  <w:r>
                    <w:rPr>
                      <w:rFonts w:hint="eastAsia" w:ascii="宋体" w:hAnsi="宋体" w:eastAsia="宋体" w:cs="宋体"/>
                      <w:color w:val="000000"/>
                      <w:kern w:val="0"/>
                      <w:sz w:val="18"/>
                      <w:szCs w:val="18"/>
                    </w:rPr>
                    <w:t>　</w:t>
                  </w:r>
                </w:p>
              </w:tc>
              <w:tc>
                <w:tcPr>
                  <w:tcW w:w="992" w:type="dxa"/>
                  <w:tcBorders>
                    <w:top w:val="nil"/>
                    <w:left w:val="single" w:color="auto" w:sz="4" w:space="0"/>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2"/>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24.30</w:t>
                  </w:r>
                  <w:r>
                    <w:rPr>
                      <w:rFonts w:hint="eastAsia" w:ascii="宋体" w:hAnsi="宋体" w:eastAsia="宋体" w:cs="宋体"/>
                      <w:color w:val="000000"/>
                      <w:kern w:val="0"/>
                      <w:sz w:val="18"/>
                      <w:szCs w:val="18"/>
                    </w:rPr>
                    <w:t>　</w:t>
                  </w:r>
                </w:p>
              </w:tc>
              <w:tc>
                <w:tcPr>
                  <w:tcW w:w="1134"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1" w:type="dxa"/>
                  <w:gridSpan w:val="2"/>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2081199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其他残疾人事业支出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1630.12</w:t>
                  </w:r>
                  <w:r>
                    <w:rPr>
                      <w:rFonts w:hint="eastAsia" w:ascii="宋体" w:hAnsi="宋体" w:eastAsia="宋体"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0.64</w:t>
                  </w:r>
                  <w:r>
                    <w:rPr>
                      <w:rFonts w:hint="eastAsia" w:ascii="宋体" w:hAnsi="宋体" w:eastAsia="宋体" w:cs="宋体"/>
                      <w:color w:val="000000"/>
                      <w:kern w:val="0"/>
                      <w:sz w:val="18"/>
                      <w:szCs w:val="18"/>
                    </w:rPr>
                    <w:t>　</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85.72</w:t>
                  </w:r>
                  <w:r>
                    <w:rPr>
                      <w:rFonts w:hint="eastAsia" w:ascii="宋体" w:hAnsi="宋体" w:eastAsia="宋体"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1543.76</w:t>
                  </w:r>
                  <w:r>
                    <w:rPr>
                      <w:rFonts w:hint="eastAsia" w:ascii="宋体" w:hAnsi="宋体" w:eastAsia="宋体" w:cs="宋体"/>
                      <w:color w:val="000000"/>
                      <w:kern w:val="0"/>
                      <w:sz w:val="18"/>
                      <w:szCs w:val="18"/>
                    </w:rPr>
                    <w:t>　</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210</w:t>
                  </w:r>
                  <w:r>
                    <w:rPr>
                      <w:rFonts w:hint="eastAsia" w:ascii="宋体" w:hAnsi="宋体" w:eastAsia="宋体" w:cs="宋体"/>
                      <w:color w:val="auto"/>
                      <w:kern w:val="0"/>
                      <w:sz w:val="18"/>
                      <w:szCs w:val="18"/>
                      <w:lang w:val="en-US" w:eastAsia="zh-CN"/>
                    </w:rPr>
                    <w:t>1101</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行政单位医疗</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14.37</w:t>
                  </w: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14.37</w:t>
                  </w:r>
                </w:p>
              </w:tc>
              <w:tc>
                <w:tcPr>
                  <w:tcW w:w="1134"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lang w:val="en-US" w:eastAsia="zh-CN"/>
                    </w:rPr>
                    <w:t>2101102</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lang w:eastAsia="zh-CN"/>
                    </w:rPr>
                    <w:t>事业单位医疗</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25.70</w:t>
                  </w: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25.70</w:t>
                  </w:r>
                </w:p>
              </w:tc>
              <w:tc>
                <w:tcPr>
                  <w:tcW w:w="1134"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2210201</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67.08</w:t>
                  </w: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67.08</w:t>
                  </w:r>
                </w:p>
              </w:tc>
              <w:tc>
                <w:tcPr>
                  <w:tcW w:w="1134"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2210203</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购房补贴</w:t>
                  </w:r>
                </w:p>
              </w:tc>
              <w:tc>
                <w:tcPr>
                  <w:tcW w:w="1276"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21.57</w:t>
                  </w: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21.57</w:t>
                  </w:r>
                </w:p>
              </w:tc>
              <w:tc>
                <w:tcPr>
                  <w:tcW w:w="1134"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2290400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auto"/>
                      <w:kern w:val="0"/>
                      <w:sz w:val="18"/>
                      <w:szCs w:val="18"/>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124.89</w:t>
                  </w: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59.05</w:t>
                  </w:r>
                </w:p>
              </w:tc>
              <w:tc>
                <w:tcPr>
                  <w:tcW w:w="1134"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65.84</w:t>
                  </w: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2296006</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用于残疾人事业的彩票公益金支出</w:t>
                  </w:r>
                </w:p>
              </w:tc>
              <w:tc>
                <w:tcPr>
                  <w:tcW w:w="1276"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1134"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113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宋体"/>
                      <w:color w:val="000000"/>
                      <w:kern w:val="0"/>
                      <w:sz w:val="18"/>
                      <w:szCs w:val="18"/>
                    </w:rPr>
                  </w:pPr>
                </w:p>
              </w:tc>
            </w:tr>
          </w:tbl>
          <w:p>
            <w:pPr>
              <w:widowControl/>
              <w:jc w:val="left"/>
              <w:rPr>
                <w:rFonts w:hint="eastAsia" w:ascii="宋体" w:hAnsi="宋体" w:eastAsia="宋体" w:cs="宋体"/>
                <w:color w:val="000000"/>
                <w:kern w:val="0"/>
                <w:sz w:val="20"/>
                <w:szCs w:val="20"/>
              </w:rPr>
            </w:pPr>
          </w:p>
        </w:tc>
      </w:tr>
    </w:tbl>
    <w:p>
      <w:pPr>
        <w:autoSpaceDE w:val="0"/>
        <w:autoSpaceDN w:val="0"/>
        <w:adjustRightInd w:val="0"/>
        <w:spacing w:line="560" w:lineRule="exact"/>
        <w:rPr>
          <w:rFonts w:hint="eastAsia" w:ascii="宋体" w:hAnsi="宋体" w:eastAsia="宋体" w:cs="宋体"/>
          <w:b/>
          <w:sz w:val="32"/>
          <w:szCs w:val="32"/>
        </w:rPr>
      </w:pPr>
    </w:p>
    <w:tbl>
      <w:tblPr>
        <w:tblStyle w:val="6"/>
        <w:tblW w:w="19156" w:type="dxa"/>
        <w:tblInd w:w="93" w:type="dxa"/>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Layout w:type="fixed"/>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12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公开03-1表</w:t>
            </w:r>
          </w:p>
        </w:tc>
      </w:tr>
    </w:tbl>
    <w:p>
      <w:pPr>
        <w:autoSpaceDE w:val="0"/>
        <w:autoSpaceDN w:val="0"/>
        <w:adjustRightInd w:val="0"/>
        <w:spacing w:line="560" w:lineRule="exact"/>
        <w:jc w:val="center"/>
        <w:rPr>
          <w:rFonts w:hint="eastAsia" w:ascii="宋体" w:hAnsi="宋体" w:eastAsia="宋体" w:cs="宋体"/>
          <w:b/>
          <w:sz w:val="32"/>
          <w:szCs w:val="32"/>
        </w:rPr>
      </w:pPr>
    </w:p>
    <w:p>
      <w:pPr>
        <w:autoSpaceDE w:val="0"/>
        <w:autoSpaceDN w:val="0"/>
        <w:adjustRightInd w:val="0"/>
        <w:spacing w:line="560" w:lineRule="exact"/>
        <w:jc w:val="center"/>
        <w:rPr>
          <w:rFonts w:hint="eastAsia" w:ascii="宋体" w:hAnsi="宋体" w:eastAsia="宋体" w:cs="宋体"/>
          <w:b/>
          <w:sz w:val="32"/>
          <w:szCs w:val="32"/>
        </w:rPr>
      </w:pPr>
      <w:r>
        <w:rPr>
          <w:rFonts w:hint="eastAsia" w:ascii="宋体" w:hAnsi="宋体" w:eastAsia="宋体" w:cs="宋体"/>
          <w:b/>
          <w:sz w:val="32"/>
          <w:szCs w:val="32"/>
        </w:rPr>
        <w:t>2017年度部门财政拨款收入支出决算总表</w:t>
      </w:r>
    </w:p>
    <w:tbl>
      <w:tblPr>
        <w:tblStyle w:val="6"/>
        <w:tblW w:w="15990" w:type="dxa"/>
        <w:tblInd w:w="93" w:type="dxa"/>
        <w:tblLayout w:type="fixed"/>
        <w:tblCellMar>
          <w:top w:w="0" w:type="dxa"/>
          <w:left w:w="108" w:type="dxa"/>
          <w:bottom w:w="0" w:type="dxa"/>
          <w:right w:w="108" w:type="dxa"/>
        </w:tblCellMar>
      </w:tblPr>
      <w:tblGrid>
        <w:gridCol w:w="9233"/>
        <w:gridCol w:w="376"/>
        <w:gridCol w:w="880"/>
        <w:gridCol w:w="2240"/>
        <w:gridCol w:w="440"/>
        <w:gridCol w:w="2821"/>
      </w:tblGrid>
      <w:tr>
        <w:tblPrEx>
          <w:tblLayout w:type="fixed"/>
          <w:tblCellMar>
            <w:top w:w="0" w:type="dxa"/>
            <w:left w:w="108" w:type="dxa"/>
            <w:bottom w:w="0" w:type="dxa"/>
            <w:right w:w="108" w:type="dxa"/>
          </w:tblCellMar>
        </w:tblPrEx>
        <w:trPr>
          <w:trHeight w:val="255" w:hRule="atLeast"/>
        </w:trPr>
        <w:tc>
          <w:tcPr>
            <w:tcW w:w="9233" w:type="dxa"/>
            <w:tcBorders>
              <w:top w:val="nil"/>
              <w:left w:val="nil"/>
              <w:bottom w:val="nil"/>
              <w:right w:val="nil"/>
            </w:tcBorders>
            <w:shd w:val="clear" w:color="auto" w:fill="auto"/>
            <w:vAlign w:val="bottom"/>
          </w:tcPr>
          <w:tbl>
            <w:tblPr>
              <w:tblStyle w:val="6"/>
              <w:tblW w:w="9017" w:type="dxa"/>
              <w:tblInd w:w="0" w:type="dxa"/>
              <w:tblLayout w:type="fixed"/>
              <w:tblCellMar>
                <w:top w:w="0" w:type="dxa"/>
                <w:left w:w="108" w:type="dxa"/>
                <w:bottom w:w="0" w:type="dxa"/>
                <w:right w:w="108" w:type="dxa"/>
              </w:tblCellMar>
            </w:tblPr>
            <w:tblGrid>
              <w:gridCol w:w="2260"/>
              <w:gridCol w:w="376"/>
              <w:gridCol w:w="880"/>
              <w:gridCol w:w="2240"/>
              <w:gridCol w:w="440"/>
              <w:gridCol w:w="667"/>
              <w:gridCol w:w="1077"/>
              <w:gridCol w:w="1077"/>
            </w:tblGrid>
            <w:tr>
              <w:tblPrEx>
                <w:tblLayout w:type="fixed"/>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公开04表</w:t>
                  </w:r>
                </w:p>
              </w:tc>
            </w:tr>
            <w:tr>
              <w:tblPrEx>
                <w:tblLayout w:type="fixed"/>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0"/>
                      <w:szCs w:val="20"/>
                    </w:rPr>
                    <w:t>温州市残疾人联合会（汇总）</w:t>
                  </w:r>
                </w:p>
              </w:tc>
              <w:tc>
                <w:tcPr>
                  <w:tcW w:w="376"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收     入</w:t>
                  </w:r>
                </w:p>
              </w:tc>
              <w:tc>
                <w:tcPr>
                  <w:tcW w:w="550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支     出</w:t>
                  </w:r>
                </w:p>
              </w:tc>
            </w:tr>
            <w:tr>
              <w:tblPrEx>
                <w:tblLayout w:type="fixed"/>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r>
            <w:tr>
              <w:tblPrEx>
                <w:tblLayout w:type="fixed"/>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政府性基金预算财政拨款</w:t>
                  </w:r>
                </w:p>
              </w:tc>
            </w:tr>
            <w:tr>
              <w:tblPrEx>
                <w:tblLayout w:type="fixed"/>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2838.05</w:t>
                  </w:r>
                  <w:r>
                    <w:rPr>
                      <w:rFonts w:hint="eastAsia" w:ascii="宋体" w:hAnsi="宋体" w:eastAsia="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129.89</w:t>
                  </w:r>
                  <w:r>
                    <w:rPr>
                      <w:rFonts w:hint="eastAsia" w:ascii="宋体" w:hAnsi="宋体" w:eastAsia="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auto"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nil"/>
                    <w:left w:val="nil"/>
                    <w:bottom w:val="single" w:color="auto"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88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nil"/>
                    <w:left w:val="nil"/>
                    <w:bottom w:val="single" w:color="auto"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八、社会保障和就业支出</w:t>
                  </w:r>
                </w:p>
              </w:tc>
              <w:tc>
                <w:tcPr>
                  <w:tcW w:w="440" w:type="dxa"/>
                  <w:tcBorders>
                    <w:top w:val="nil"/>
                    <w:left w:val="nil"/>
                    <w:bottom w:val="single" w:color="auto"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38</w:t>
                  </w:r>
                </w:p>
              </w:tc>
              <w:tc>
                <w:tcPr>
                  <w:tcW w:w="667"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2579.45</w:t>
                  </w:r>
                  <w:r>
                    <w:rPr>
                      <w:rFonts w:hint="eastAsia" w:ascii="宋体" w:hAnsi="宋体" w:eastAsia="宋体" w:cs="宋体"/>
                      <w:color w:val="000000"/>
                      <w:kern w:val="0"/>
                      <w:sz w:val="16"/>
                      <w:szCs w:val="16"/>
                    </w:rPr>
                    <w:t>　</w:t>
                  </w:r>
                </w:p>
              </w:tc>
              <w:tc>
                <w:tcPr>
                  <w:tcW w:w="1077"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2579.45</w:t>
                  </w:r>
                  <w:r>
                    <w:rPr>
                      <w:rFonts w:hint="eastAsia" w:ascii="宋体" w:hAnsi="宋体" w:eastAsia="宋体" w:cs="宋体"/>
                      <w:color w:val="000000"/>
                      <w:kern w:val="0"/>
                      <w:sz w:val="16"/>
                      <w:szCs w:val="16"/>
                    </w:rPr>
                    <w:t>　</w:t>
                  </w:r>
                </w:p>
              </w:tc>
              <w:tc>
                <w:tcPr>
                  <w:tcW w:w="1077"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九、医疗卫生与计划生育支出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39</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40.07</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40.07</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十、节能环保支出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40</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十一、城乡社区支出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41</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十二、农林水支出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42</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十三、交通运输支出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43</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十四、资源勘探信息等支出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44</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十五、商业服务业等支出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45</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十六、金融支出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46</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十七、援助其他地区支出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47</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十八、国土海洋气象等支出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48</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十九、住房保障支出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49</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88.65</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88.65</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二十、粮油物资储备支出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50</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二十一、其他支出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51</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129.89</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二十二、债务还本支出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52</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二十三、债务付息支出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53</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本年收入合计</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2838.05</w:t>
                  </w: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本年支出合计</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77</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78</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年初财政拨款结转和结余</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0.12</w:t>
                  </w: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年末财政拨款结转和结余</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79</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0.12</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0.12</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一、一般公共预算财政拨款</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0.12</w:t>
                  </w: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xml:space="preserve">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80</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二、政府性基金预算财政拨款</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xml:space="preserve">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81</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82</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总计</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2838.17</w:t>
                  </w:r>
                  <w:r>
                    <w:rPr>
                      <w:rFonts w:hint="eastAsia" w:ascii="宋体" w:hAnsi="宋体" w:eastAsia="宋体" w:cs="宋体"/>
                      <w:color w:val="000000"/>
                      <w:kern w:val="0"/>
                      <w:sz w:val="16"/>
                      <w:szCs w:val="16"/>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总计</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83</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2708.28</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2708.28</w:t>
                  </w:r>
                  <w:r>
                    <w:rPr>
                      <w:rFonts w:hint="eastAsia" w:ascii="宋体" w:hAnsi="宋体" w:eastAsia="宋体" w:cs="宋体"/>
                      <w:color w:val="000000"/>
                      <w:kern w:val="0"/>
                      <w:sz w:val="16"/>
                      <w:szCs w:val="16"/>
                    </w:rPr>
                    <w:t>　</w:t>
                  </w:r>
                </w:p>
              </w:tc>
              <w:tc>
                <w:tcPr>
                  <w:tcW w:w="10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129.89</w:t>
                  </w:r>
                  <w:r>
                    <w:rPr>
                      <w:rFonts w:hint="eastAsia" w:ascii="宋体" w:hAnsi="宋体" w:eastAsia="宋体" w:cs="宋体"/>
                      <w:color w:val="000000"/>
                      <w:kern w:val="0"/>
                      <w:sz w:val="16"/>
                      <w:szCs w:val="16"/>
                    </w:rPr>
                    <w:t>　</w:t>
                  </w:r>
                </w:p>
              </w:tc>
            </w:tr>
          </w:tbl>
          <w:p>
            <w:pPr>
              <w:widowControl/>
              <w:jc w:val="left"/>
              <w:rPr>
                <w:rFonts w:hint="eastAsia" w:ascii="宋体" w:hAnsi="宋体" w:eastAsia="宋体" w:cs="宋体"/>
                <w:color w:val="000000"/>
                <w:kern w:val="0"/>
                <w:sz w:val="20"/>
                <w:szCs w:val="20"/>
              </w:rPr>
            </w:pPr>
          </w:p>
        </w:tc>
        <w:tc>
          <w:tcPr>
            <w:tcW w:w="37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4"/>
                <w:szCs w:val="24"/>
              </w:rPr>
            </w:pPr>
          </w:p>
        </w:tc>
        <w:tc>
          <w:tcPr>
            <w:tcW w:w="4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108" w:type="dxa"/>
            <w:bottom w:w="0" w:type="dxa"/>
            <w:right w:w="108" w:type="dxa"/>
          </w:tblCellMar>
        </w:tblPrEx>
        <w:trPr>
          <w:trHeight w:val="315" w:hRule="atLeast"/>
        </w:trPr>
        <w:tc>
          <w:tcPr>
            <w:tcW w:w="9233"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4"/>
                <w:szCs w:val="24"/>
              </w:rPr>
            </w:pPr>
          </w:p>
        </w:tc>
        <w:tc>
          <w:tcPr>
            <w:tcW w:w="37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bl>
    <w:p>
      <w:pPr>
        <w:autoSpaceDE w:val="0"/>
        <w:autoSpaceDN w:val="0"/>
        <w:adjustRightInd w:val="0"/>
        <w:spacing w:line="560" w:lineRule="exact"/>
        <w:ind w:firstLine="627"/>
        <w:jc w:val="center"/>
        <w:rPr>
          <w:rFonts w:hint="eastAsia" w:ascii="宋体" w:hAnsi="宋体" w:eastAsia="宋体" w:cs="宋体"/>
          <w:sz w:val="28"/>
          <w:szCs w:val="28"/>
        </w:rPr>
      </w:pPr>
      <w:r>
        <w:rPr>
          <w:rFonts w:hint="eastAsia" w:ascii="宋体" w:hAnsi="宋体" w:eastAsia="宋体" w:cs="宋体"/>
          <w:b/>
          <w:sz w:val="32"/>
          <w:szCs w:val="32"/>
        </w:rPr>
        <w:t>2017年度部门一般公共预算财政拨款支出决算表</w:t>
      </w:r>
    </w:p>
    <w:tbl>
      <w:tblPr>
        <w:tblStyle w:val="6"/>
        <w:tblW w:w="9280" w:type="dxa"/>
        <w:tblInd w:w="93" w:type="dxa"/>
        <w:tblLayout w:type="fixed"/>
        <w:tblCellMar>
          <w:top w:w="0" w:type="dxa"/>
          <w:left w:w="108" w:type="dxa"/>
          <w:bottom w:w="0" w:type="dxa"/>
          <w:right w:w="108" w:type="dxa"/>
        </w:tblCellMar>
      </w:tblPr>
      <w:tblGrid>
        <w:gridCol w:w="482"/>
        <w:gridCol w:w="482"/>
        <w:gridCol w:w="6"/>
        <w:gridCol w:w="476"/>
        <w:gridCol w:w="1754"/>
        <w:gridCol w:w="383"/>
        <w:gridCol w:w="887"/>
        <w:gridCol w:w="250"/>
        <w:gridCol w:w="890"/>
        <w:gridCol w:w="630"/>
        <w:gridCol w:w="1070"/>
        <w:gridCol w:w="450"/>
        <w:gridCol w:w="1520"/>
      </w:tblGrid>
      <w:tr>
        <w:tblPrEx>
          <w:tblLayout w:type="fixed"/>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2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40" w:type="dxa"/>
            <w:gridSpan w:val="3"/>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公开05表</w:t>
            </w:r>
          </w:p>
        </w:tc>
      </w:tr>
      <w:tr>
        <w:tblPrEx>
          <w:tblLayout w:type="fixed"/>
          <w:tblCellMar>
            <w:top w:w="0" w:type="dxa"/>
            <w:left w:w="108" w:type="dxa"/>
            <w:bottom w:w="0" w:type="dxa"/>
            <w:right w:w="108" w:type="dxa"/>
          </w:tblCellMar>
        </w:tblPrEx>
        <w:trPr>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auto"/>
                <w:kern w:val="0"/>
                <w:sz w:val="20"/>
                <w:szCs w:val="20"/>
              </w:rPr>
              <w:t>温州市残疾人联合会（汇总）</w:t>
            </w:r>
          </w:p>
        </w:tc>
        <w:tc>
          <w:tcPr>
            <w:tcW w:w="1520" w:type="dxa"/>
            <w:gridSpan w:val="3"/>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40" w:type="dxa"/>
            <w:gridSpan w:val="3"/>
            <w:tcBorders>
              <w:top w:val="nil"/>
              <w:left w:val="nil"/>
              <w:bottom w:val="single" w:color="000000" w:sz="8" w:space="0"/>
              <w:right w:val="nil"/>
            </w:tcBorders>
            <w:shd w:val="clear" w:color="000000" w:fill="FFFFFF"/>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项目</w:t>
            </w:r>
          </w:p>
        </w:tc>
        <w:tc>
          <w:tcPr>
            <w:tcW w:w="1520"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备注</w:t>
            </w:r>
          </w:p>
        </w:tc>
      </w:tr>
      <w:tr>
        <w:tblPrEx>
          <w:tblLayout w:type="fixed"/>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Layout w:type="fixed"/>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栏次</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r>
      <w:tr>
        <w:tblPrEx>
          <w:tblLayout w:type="fixed"/>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2708.16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1128.31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lang w:val="en-US" w:eastAsia="zh-CN"/>
              </w:rPr>
              <w:t>1579.85</w:t>
            </w:r>
            <w:r>
              <w:rPr>
                <w:rFonts w:hint="eastAsia" w:ascii="宋体" w:hAnsi="宋体" w:eastAsia="宋体" w:cs="宋体"/>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18"/>
                <w:szCs w:val="18"/>
                <w:lang w:val="en-US" w:eastAsia="zh-CN"/>
              </w:rPr>
              <w:t>2080505</w:t>
            </w:r>
          </w:p>
        </w:tc>
        <w:tc>
          <w:tcPr>
            <w:tcW w:w="1754" w:type="dxa"/>
            <w:tcBorders>
              <w:top w:val="nil"/>
              <w:left w:val="nil"/>
              <w:bottom w:val="single" w:color="000000"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lang w:val="en-US" w:eastAsia="zh-CN"/>
              </w:rPr>
              <w:t>机关事业单位基本养老保险缴费支出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14.76</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14.76</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18"/>
                <w:szCs w:val="18"/>
                <w:lang w:val="en-US" w:eastAsia="zh-CN"/>
              </w:rPr>
              <w:t>2080506</w:t>
            </w:r>
          </w:p>
        </w:tc>
        <w:tc>
          <w:tcPr>
            <w:tcW w:w="1754" w:type="dxa"/>
            <w:tcBorders>
              <w:top w:val="nil"/>
              <w:left w:val="nil"/>
              <w:bottom w:val="single" w:color="000000"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lang w:eastAsia="zh-CN"/>
              </w:rPr>
              <w:t>机关事业单位职业年金缴费支出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4.00</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4.00</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rPr>
              <w:t>2081101</w:t>
            </w:r>
          </w:p>
        </w:tc>
        <w:tc>
          <w:tcPr>
            <w:tcW w:w="1754" w:type="dxa"/>
            <w:tcBorders>
              <w:top w:val="nil"/>
              <w:left w:val="nil"/>
              <w:bottom w:val="single" w:color="000000"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rPr>
              <w:t>行政运行</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381.56</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381.56</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rPr>
              <w:t>2081102</w:t>
            </w:r>
          </w:p>
        </w:tc>
        <w:tc>
          <w:tcPr>
            <w:tcW w:w="1754" w:type="dxa"/>
            <w:tcBorders>
              <w:top w:val="nil"/>
              <w:left w:val="nil"/>
              <w:bottom w:val="single" w:color="000000"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rPr>
              <w:t>一般行政管理事务</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11.79</w:t>
            </w:r>
            <w:r>
              <w:rPr>
                <w:rFonts w:hint="eastAsia" w:ascii="宋体" w:hAnsi="宋体" w:eastAsia="宋体" w:cs="宋体"/>
                <w:color w:val="000000"/>
                <w:kern w:val="0"/>
                <w:sz w:val="18"/>
                <w:szCs w:val="18"/>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lang w:val="en-US" w:eastAsia="zh-CN"/>
              </w:rPr>
              <w:t>11.79</w:t>
            </w:r>
            <w:r>
              <w:rPr>
                <w:rFonts w:hint="eastAsia" w:ascii="宋体" w:hAnsi="宋体" w:eastAsia="宋体" w:cs="宋体"/>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rPr>
              <w:t>2081104</w:t>
            </w:r>
          </w:p>
        </w:tc>
        <w:tc>
          <w:tcPr>
            <w:tcW w:w="1754" w:type="dxa"/>
            <w:tcBorders>
              <w:top w:val="nil"/>
              <w:left w:val="nil"/>
              <w:bottom w:val="single" w:color="000000"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rPr>
              <w:t>残疾人康复</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24.30</w:t>
            </w:r>
            <w:r>
              <w:rPr>
                <w:rFonts w:hint="eastAsia" w:ascii="宋体" w:hAnsi="宋体" w:eastAsia="宋体" w:cs="宋体"/>
                <w:color w:val="000000"/>
                <w:kern w:val="0"/>
                <w:sz w:val="18"/>
                <w:szCs w:val="18"/>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lang w:val="en-US" w:eastAsia="zh-CN"/>
              </w:rPr>
              <w:t>24.30</w:t>
            </w:r>
            <w:r>
              <w:rPr>
                <w:rFonts w:hint="eastAsia" w:ascii="宋体" w:hAnsi="宋体" w:eastAsia="宋体" w:cs="宋体"/>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rPr>
              <w:t>2081199</w:t>
            </w:r>
          </w:p>
        </w:tc>
        <w:tc>
          <w:tcPr>
            <w:tcW w:w="1754" w:type="dxa"/>
            <w:tcBorders>
              <w:top w:val="nil"/>
              <w:left w:val="nil"/>
              <w:bottom w:val="single" w:color="000000"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rPr>
              <w:t>其他残疾人事业支出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2143.03</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599.27</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18"/>
                <w:szCs w:val="18"/>
                <w:lang w:val="en-US" w:eastAsia="zh-CN"/>
              </w:rPr>
              <w:t>1543.76</w:t>
            </w:r>
            <w:r>
              <w:rPr>
                <w:rFonts w:hint="eastAsia" w:ascii="宋体" w:hAnsi="宋体" w:eastAsia="宋体" w:cs="宋体"/>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auto"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rPr>
              <w:t>210</w:t>
            </w:r>
            <w:r>
              <w:rPr>
                <w:rFonts w:hint="eastAsia" w:ascii="宋体" w:hAnsi="宋体" w:eastAsia="宋体" w:cs="宋体"/>
                <w:color w:val="auto"/>
                <w:kern w:val="0"/>
                <w:sz w:val="18"/>
                <w:szCs w:val="18"/>
                <w:lang w:val="en-US" w:eastAsia="zh-CN"/>
              </w:rPr>
              <w:t>1101</w:t>
            </w:r>
          </w:p>
        </w:tc>
        <w:tc>
          <w:tcPr>
            <w:tcW w:w="1754" w:type="dxa"/>
            <w:tcBorders>
              <w:top w:val="nil"/>
              <w:left w:val="nil"/>
              <w:bottom w:val="single" w:color="auto"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rPr>
              <w:t>行政单位医疗</w:t>
            </w:r>
          </w:p>
        </w:tc>
        <w:tc>
          <w:tcPr>
            <w:tcW w:w="1520" w:type="dxa"/>
            <w:gridSpan w:val="3"/>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14.37</w:t>
            </w:r>
          </w:p>
        </w:tc>
        <w:tc>
          <w:tcPr>
            <w:tcW w:w="1520" w:type="dxa"/>
            <w:gridSpan w:val="2"/>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14.37</w:t>
            </w:r>
          </w:p>
        </w:tc>
        <w:tc>
          <w:tcPr>
            <w:tcW w:w="1520" w:type="dxa"/>
            <w:gridSpan w:val="2"/>
            <w:tcBorders>
              <w:top w:val="nil"/>
              <w:left w:val="nil"/>
              <w:bottom w:val="single" w:color="auto" w:sz="4" w:space="0"/>
              <w:right w:val="single" w:color="000000" w:sz="4" w:space="0"/>
            </w:tcBorders>
            <w:shd w:val="clear" w:color="000000" w:fill="FFFFFF"/>
            <w:vAlign w:val="top"/>
          </w:tcPr>
          <w:p>
            <w:pPr>
              <w:widowControl/>
              <w:jc w:val="right"/>
              <w:rPr>
                <w:rFonts w:hint="eastAsia" w:ascii="宋体" w:hAnsi="宋体" w:eastAsia="宋体" w:cs="宋体"/>
                <w:color w:val="000000"/>
                <w:kern w:val="0"/>
                <w:sz w:val="22"/>
              </w:rPr>
            </w:pPr>
          </w:p>
        </w:tc>
        <w:tc>
          <w:tcPr>
            <w:tcW w:w="1520" w:type="dxa"/>
            <w:tcBorders>
              <w:top w:val="nil"/>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lang w:val="en-US" w:eastAsia="zh-CN"/>
              </w:rPr>
              <w:t>2101102</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lang w:eastAsia="zh-CN"/>
              </w:rPr>
              <w:t>事业单位医疗</w:t>
            </w:r>
          </w:p>
        </w:tc>
        <w:tc>
          <w:tcPr>
            <w:tcW w:w="152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25.70</w:t>
            </w: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25.70</w:t>
            </w: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rPr>
              <w:t>2210201</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rPr>
              <w:t>住房公积金</w:t>
            </w:r>
          </w:p>
        </w:tc>
        <w:tc>
          <w:tcPr>
            <w:tcW w:w="152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67.08　</w:t>
            </w: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67.08　</w:t>
            </w: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auto"/>
                <w:kern w:val="0"/>
                <w:sz w:val="18"/>
                <w:szCs w:val="18"/>
              </w:rPr>
              <w:t>2210203</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r>
              <w:rPr>
                <w:rFonts w:hint="eastAsia" w:ascii="宋体" w:hAnsi="宋体" w:eastAsia="宋体" w:cs="宋体"/>
                <w:color w:val="auto"/>
                <w:kern w:val="0"/>
                <w:sz w:val="18"/>
                <w:szCs w:val="18"/>
              </w:rPr>
              <w:t>购房补贴</w:t>
            </w:r>
          </w:p>
        </w:tc>
        <w:tc>
          <w:tcPr>
            <w:tcW w:w="152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21.57　</w:t>
            </w: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21.57　</w:t>
            </w: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p>
        </w:tc>
        <w:tc>
          <w:tcPr>
            <w:tcW w:w="152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2"/>
              </w:rPr>
            </w:pP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宋体"/>
                <w:color w:val="000000"/>
                <w:kern w:val="0"/>
                <w:sz w:val="22"/>
              </w:rPr>
            </w:pPr>
          </w:p>
        </w:tc>
        <w:tc>
          <w:tcPr>
            <w:tcW w:w="152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p>
        </w:tc>
        <w:tc>
          <w:tcPr>
            <w:tcW w:w="15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754" w:type="dxa"/>
            <w:tcBorders>
              <w:top w:val="nil"/>
              <w:left w:val="nil"/>
              <w:bottom w:val="single" w:color="000000" w:sz="8"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gridSpan w:val="3"/>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40" w:hRule="atLeast"/>
        </w:trPr>
        <w:tc>
          <w:tcPr>
            <w:tcW w:w="9280" w:type="dxa"/>
            <w:gridSpan w:val="13"/>
            <w:tcBorders>
              <w:top w:val="nil"/>
              <w:left w:val="nil"/>
              <w:bottom w:val="nil"/>
              <w:right w:val="nil"/>
            </w:tcBorders>
            <w:shd w:val="clear" w:color="auto" w:fill="auto"/>
            <w:vAlign w:val="bottom"/>
          </w:tcPr>
          <w:p>
            <w:pPr>
              <w:widowControl/>
              <w:jc w:val="center"/>
              <w:rPr>
                <w:rFonts w:hint="eastAsia" w:ascii="宋体" w:hAnsi="宋体" w:eastAsia="宋体" w:cs="宋体"/>
                <w:b/>
                <w:sz w:val="32"/>
                <w:szCs w:val="32"/>
              </w:rPr>
            </w:pPr>
          </w:p>
          <w:p>
            <w:pPr>
              <w:widowControl/>
              <w:jc w:val="center"/>
              <w:rPr>
                <w:rFonts w:hint="eastAsia" w:ascii="宋体" w:hAnsi="宋体" w:eastAsia="宋体" w:cs="宋体"/>
                <w:b/>
                <w:sz w:val="32"/>
                <w:szCs w:val="32"/>
              </w:rPr>
            </w:pPr>
            <w:r>
              <w:rPr>
                <w:rFonts w:hint="eastAsia" w:ascii="宋体" w:hAnsi="宋体" w:eastAsia="宋体" w:cs="宋体"/>
                <w:b/>
                <w:sz w:val="32"/>
                <w:szCs w:val="32"/>
              </w:rPr>
              <w:t>2017年度部门一般公共预算基本支出决算表</w:t>
            </w:r>
          </w:p>
        </w:tc>
      </w:tr>
      <w:tr>
        <w:tblPrEx>
          <w:tblLayout w:type="fixed"/>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613" w:type="dxa"/>
            <w:gridSpan w:val="3"/>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887"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140"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700"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70" w:type="dxa"/>
            <w:gridSpan w:val="2"/>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公开06表</w:t>
            </w:r>
          </w:p>
        </w:tc>
      </w:tr>
      <w:tr>
        <w:tblPrEx>
          <w:tblLayout w:type="fixed"/>
          <w:tblCellMar>
            <w:top w:w="0" w:type="dxa"/>
            <w:left w:w="108" w:type="dxa"/>
            <w:bottom w:w="0" w:type="dxa"/>
            <w:right w:w="108" w:type="dxa"/>
          </w:tblCellMar>
        </w:tblPrEx>
        <w:trPr>
          <w:trHeight w:val="255" w:hRule="atLeast"/>
        </w:trPr>
        <w:tc>
          <w:tcPr>
            <w:tcW w:w="970" w:type="dxa"/>
            <w:gridSpan w:val="3"/>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613" w:type="dxa"/>
            <w:gridSpan w:val="3"/>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auto"/>
                <w:kern w:val="0"/>
                <w:sz w:val="20"/>
                <w:szCs w:val="20"/>
              </w:rPr>
              <w:t>温州市残疾人联合会（汇总）</w:t>
            </w:r>
          </w:p>
        </w:tc>
        <w:tc>
          <w:tcPr>
            <w:tcW w:w="887" w:type="dxa"/>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140" w:type="dxa"/>
            <w:gridSpan w:val="2"/>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700" w:type="dxa"/>
            <w:gridSpan w:val="2"/>
            <w:tcBorders>
              <w:top w:val="nil"/>
              <w:left w:val="nil"/>
              <w:bottom w:val="single" w:color="auto" w:sz="4" w:space="0"/>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970" w:type="dxa"/>
            <w:gridSpan w:val="2"/>
            <w:tcBorders>
              <w:top w:val="nil"/>
              <w:left w:val="nil"/>
              <w:bottom w:val="single" w:color="auto" w:sz="4" w:space="0"/>
              <w:right w:val="nil"/>
            </w:tcBorders>
            <w:shd w:val="clear" w:color="auto" w:fill="auto"/>
            <w:vAlign w:val="bottom"/>
          </w:tcPr>
          <w:p>
            <w:pPr>
              <w:widowControl/>
              <w:jc w:val="righ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金额单位：万元元</w:t>
            </w:r>
          </w:p>
        </w:tc>
      </w:tr>
      <w:tr>
        <w:tblPrEx>
          <w:tblLayout w:type="fixed"/>
          <w:tblCellMar>
            <w:top w:w="0" w:type="dxa"/>
            <w:left w:w="108" w:type="dxa"/>
            <w:bottom w:w="0" w:type="dxa"/>
            <w:right w:w="108" w:type="dxa"/>
          </w:tblCellMar>
        </w:tblPrEx>
        <w:trPr>
          <w:trHeight w:val="308" w:hRule="atLeast"/>
        </w:trPr>
        <w:tc>
          <w:tcPr>
            <w:tcW w:w="4470" w:type="dxa"/>
            <w:gridSpan w:val="7"/>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人员经费</w:t>
            </w:r>
          </w:p>
        </w:tc>
        <w:tc>
          <w:tcPr>
            <w:tcW w:w="4810" w:type="dxa"/>
            <w:gridSpan w:val="6"/>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公用经费</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887"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金额</w:t>
            </w:r>
          </w:p>
        </w:tc>
        <w:tc>
          <w:tcPr>
            <w:tcW w:w="114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170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197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金额</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工资福利支出</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860.72</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302</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商品和服务支出</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136.72</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基本工资</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175.23</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30201</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办公费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5.93</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津贴补贴</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107.38</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30202</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印刷费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0.61</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奖金</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179.83</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30203</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咨询费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其他社会保障缴费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4.89</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30204</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手续费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伙食补助费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16.18</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30205</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水费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1.81</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绩效工资</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187.26</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30206</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电费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9.15</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机关事业单位基本养老保险缴费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103.01</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30207</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邮电费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4.73</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职业年金缴费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38.86</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30208</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取暖费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其他工资福利支出</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48.09</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30209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物业管理费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对个人和家庭的补助</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130.87</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30211</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差旅费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11.67</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离休费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30212</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因公出国（境）费用</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4.02</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退休费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30213</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维修(护)费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0.34</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退职（役）费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30214</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租赁费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抚恤金</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30215</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会议费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0.21</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生活补助</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0.05</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30216</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培训费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5.06</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救济费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30217</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公务接待费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0.55</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医疗费</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40.74</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30218</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专用材料费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助学金</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30224</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被装购置费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奖励金</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30225</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专用燃料费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0.64</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生产补贴</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30226</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劳务费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50.82</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住房公积金</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67.08</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30227</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委托业务费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1.42</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提租补贴</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30228</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工会经费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4.92</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购房补贴</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21.57</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30229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福利费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9.85</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采暖补贴</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30231</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公务用车运行维护费</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物业服务补贴</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30239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其他交通费用</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21.25</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其他对个人和家庭的补助支出</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1.43</w:t>
            </w: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30240</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税金及附加费用</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30299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其他商品和服务支出</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3.74</w:t>
            </w: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304</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对事业单位的补贴</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30401</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企业政策性补贴</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30402</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事业单位补贴</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30403</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财政贴息</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30499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其他对企事业单位的补贴</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310</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其他资本性支出</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31001</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房屋建筑物购建</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31002</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办公设备购置</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31003</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专用设备购置</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31005</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基础设施建设</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31006</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大型修缮</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31007</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信息网络及软件购置更新</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31008</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物资储备</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31009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土地补偿</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31010</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安置补助</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31011</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地上附着物和青苗补偿</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31012</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拆迁补偿</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31013</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公务用车购置</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31019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其他交通工具购置</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31099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其他资本性支出</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399</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16"/>
                <w:szCs w:val="16"/>
              </w:rPr>
            </w:pPr>
            <w:r>
              <w:rPr>
                <w:rFonts w:hint="eastAsia" w:ascii="宋体" w:hAnsi="宋体" w:eastAsia="宋体" w:cs="宋体"/>
                <w:b/>
                <w:bCs/>
                <w:color w:val="000000"/>
                <w:kern w:val="0"/>
                <w:sz w:val="16"/>
                <w:szCs w:val="16"/>
              </w:rPr>
              <w:t>其他支出</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39906</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赠与</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人员经费合计</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991.59</w:t>
            </w:r>
          </w:p>
        </w:tc>
        <w:tc>
          <w:tcPr>
            <w:tcW w:w="2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公用经费合计</w:t>
            </w:r>
          </w:p>
        </w:tc>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136.72</w:t>
            </w:r>
          </w:p>
        </w:tc>
      </w:tr>
    </w:tbl>
    <w:p>
      <w:pPr>
        <w:autoSpaceDE w:val="0"/>
        <w:autoSpaceDN w:val="0"/>
        <w:adjustRightInd w:val="0"/>
        <w:spacing w:line="560" w:lineRule="exact"/>
        <w:rPr>
          <w:rFonts w:hint="eastAsia" w:ascii="宋体" w:hAnsi="宋体" w:eastAsia="宋体" w:cs="宋体"/>
          <w:b/>
          <w:sz w:val="32"/>
          <w:szCs w:val="32"/>
        </w:rPr>
      </w:pPr>
    </w:p>
    <w:tbl>
      <w:tblPr>
        <w:tblStyle w:val="6"/>
        <w:tblW w:w="18916" w:type="dxa"/>
        <w:tblInd w:w="93" w:type="dxa"/>
        <w:tblLayout w:type="fixed"/>
        <w:tblCellMar>
          <w:top w:w="0" w:type="dxa"/>
          <w:left w:w="108" w:type="dxa"/>
          <w:bottom w:w="0" w:type="dxa"/>
          <w:right w:w="108" w:type="dxa"/>
        </w:tblCellMar>
      </w:tblPr>
      <w:tblGrid>
        <w:gridCol w:w="9784"/>
        <w:gridCol w:w="436"/>
        <w:gridCol w:w="436"/>
        <w:gridCol w:w="2180"/>
        <w:gridCol w:w="1520"/>
        <w:gridCol w:w="1520"/>
        <w:gridCol w:w="3040"/>
      </w:tblGrid>
      <w:tr>
        <w:tblPrEx>
          <w:tblLayout w:type="fixed"/>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304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公开05表</w:t>
            </w:r>
          </w:p>
        </w:tc>
      </w:tr>
      <w:tr>
        <w:tblPrEx>
          <w:tblLayout w:type="fixed"/>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1520" w:type="dxa"/>
            <w:tcBorders>
              <w:top w:val="nil"/>
              <w:left w:val="nil"/>
              <w:bottom w:val="nil"/>
              <w:right w:val="nil"/>
            </w:tcBorders>
            <w:shd w:val="clear" w:color="auto" w:fill="auto"/>
            <w:vAlign w:val="bottom"/>
          </w:tcPr>
          <w:p>
            <w:pPr>
              <w:widowControl/>
              <w:jc w:val="center"/>
              <w:rPr>
                <w:rFonts w:hint="eastAsia" w:ascii="宋体" w:hAnsi="宋体" w:eastAsia="宋体" w:cs="宋体"/>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0"/>
                <w:szCs w:val="20"/>
              </w:rPr>
            </w:pPr>
          </w:p>
        </w:tc>
        <w:tc>
          <w:tcPr>
            <w:tcW w:w="3040" w:type="dxa"/>
            <w:tcBorders>
              <w:top w:val="nil"/>
              <w:left w:val="nil"/>
              <w:bottom w:val="single" w:color="000000" w:sz="8" w:space="0"/>
              <w:right w:val="nil"/>
            </w:tcBorders>
            <w:shd w:val="clear" w:color="auto" w:fill="auto"/>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bl>
    <w:p>
      <w:pPr>
        <w:autoSpaceDE w:val="0"/>
        <w:autoSpaceDN w:val="0"/>
        <w:adjustRightInd w:val="0"/>
        <w:spacing w:line="560" w:lineRule="exact"/>
        <w:rPr>
          <w:rFonts w:hint="eastAsia" w:ascii="宋体" w:hAnsi="宋体" w:eastAsia="宋体" w:cs="宋体"/>
          <w:b/>
          <w:sz w:val="32"/>
          <w:szCs w:val="32"/>
        </w:rPr>
      </w:pPr>
    </w:p>
    <w:p>
      <w:pPr>
        <w:autoSpaceDE w:val="0"/>
        <w:autoSpaceDN w:val="0"/>
        <w:adjustRightInd w:val="0"/>
        <w:spacing w:line="560" w:lineRule="exact"/>
        <w:jc w:val="center"/>
        <w:rPr>
          <w:rFonts w:hint="eastAsia" w:ascii="宋体" w:hAnsi="宋体" w:eastAsia="宋体" w:cs="宋体"/>
          <w:b/>
          <w:sz w:val="32"/>
          <w:szCs w:val="32"/>
        </w:rPr>
      </w:pPr>
      <w:r>
        <w:rPr>
          <w:rFonts w:hint="eastAsia" w:ascii="宋体" w:hAnsi="宋体" w:eastAsia="宋体" w:cs="宋体"/>
          <w:b/>
          <w:sz w:val="32"/>
          <w:szCs w:val="32"/>
        </w:rPr>
        <w:t>2017年度部门政府性基金收入支出决算表</w:t>
      </w:r>
    </w:p>
    <w:tbl>
      <w:tblPr>
        <w:tblStyle w:val="6"/>
        <w:tblW w:w="9428" w:type="dxa"/>
        <w:tblInd w:w="93"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Layout w:type="fixed"/>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4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2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0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12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1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0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24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公开07表</w:t>
            </w:r>
          </w:p>
        </w:tc>
      </w:tr>
      <w:tr>
        <w:tblPrEx>
          <w:tblLayout w:type="fixed"/>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部门：</w:t>
            </w:r>
          </w:p>
        </w:tc>
        <w:tc>
          <w:tcPr>
            <w:tcW w:w="14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r>
              <w:rPr>
                <w:rFonts w:hint="eastAsia" w:ascii="宋体" w:hAnsi="宋体" w:eastAsia="宋体" w:cs="宋体"/>
                <w:color w:val="auto"/>
                <w:sz w:val="18"/>
                <w:szCs w:val="18"/>
              </w:rPr>
              <w:t>温州市残疾人联合会（汇总）</w:t>
            </w:r>
          </w:p>
        </w:tc>
        <w:tc>
          <w:tcPr>
            <w:tcW w:w="12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08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12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10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06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6"/>
                <w:szCs w:val="16"/>
              </w:rPr>
            </w:pPr>
          </w:p>
        </w:tc>
        <w:tc>
          <w:tcPr>
            <w:tcW w:w="1240" w:type="dxa"/>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金额单位：万元</w:t>
            </w:r>
          </w:p>
        </w:tc>
      </w:tr>
      <w:tr>
        <w:tblPrEx>
          <w:tblLayout w:type="fixed"/>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年末结余结转</w:t>
            </w:r>
          </w:p>
        </w:tc>
      </w:tr>
      <w:tr>
        <w:tblPrEx>
          <w:tblLayout w:type="fixed"/>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合  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6</w:t>
            </w:r>
          </w:p>
        </w:tc>
      </w:tr>
      <w:tr>
        <w:tblPrEx>
          <w:tblLayout w:type="fixed"/>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2290400</w:t>
            </w:r>
          </w:p>
        </w:tc>
        <w:tc>
          <w:tcPr>
            <w:tcW w:w="14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其他政府性基金及对应专项债务收入安排的支出</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118.93</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118.93</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53.09</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65.84</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2296006</w:t>
            </w:r>
          </w:p>
        </w:tc>
        <w:tc>
          <w:tcPr>
            <w:tcW w:w="14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用于残疾人事业的彩票公益金支出</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5.00</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4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4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0"/>
                <w:szCs w:val="20"/>
              </w:rPr>
            </w:pPr>
          </w:p>
        </w:tc>
      </w:tr>
    </w:tbl>
    <w:p>
      <w:pPr>
        <w:autoSpaceDE w:val="0"/>
        <w:autoSpaceDN w:val="0"/>
        <w:adjustRightInd w:val="0"/>
        <w:spacing w:line="560" w:lineRule="exact"/>
        <w:rPr>
          <w:rFonts w:hint="eastAsia" w:ascii="宋体" w:hAnsi="宋体" w:eastAsia="宋体" w:cs="宋体"/>
          <w:b/>
          <w:sz w:val="32"/>
          <w:szCs w:val="32"/>
        </w:rPr>
      </w:pPr>
    </w:p>
    <w:p>
      <w:pPr>
        <w:tabs>
          <w:tab w:val="left" w:pos="6720"/>
        </w:tabs>
        <w:autoSpaceDE w:val="0"/>
        <w:autoSpaceDN w:val="0"/>
        <w:adjustRightInd w:val="0"/>
        <w:spacing w:line="560" w:lineRule="exact"/>
        <w:rPr>
          <w:rFonts w:hint="eastAsia" w:ascii="宋体" w:hAnsi="宋体" w:eastAsia="宋体" w:cs="宋体"/>
          <w:b/>
          <w:sz w:val="32"/>
          <w:szCs w:val="32"/>
        </w:rPr>
      </w:pPr>
      <w:r>
        <w:rPr>
          <w:rFonts w:hint="eastAsia" w:ascii="宋体" w:hAnsi="宋体" w:eastAsia="宋体" w:cs="宋体"/>
          <w:b/>
          <w:sz w:val="32"/>
          <w:szCs w:val="32"/>
        </w:rPr>
        <w:tab/>
      </w:r>
    </w:p>
    <w:p>
      <w:pPr>
        <w:autoSpaceDE w:val="0"/>
        <w:autoSpaceDN w:val="0"/>
        <w:adjustRightInd w:val="0"/>
        <w:spacing w:line="560" w:lineRule="exact"/>
        <w:ind w:firstLine="627"/>
        <w:jc w:val="center"/>
        <w:rPr>
          <w:rFonts w:hint="eastAsia" w:ascii="宋体" w:hAnsi="宋体" w:eastAsia="宋体" w:cs="宋体"/>
          <w:b/>
          <w:sz w:val="32"/>
          <w:szCs w:val="32"/>
        </w:rPr>
      </w:pPr>
      <w:r>
        <w:rPr>
          <w:rFonts w:hint="eastAsia" w:ascii="宋体" w:hAnsi="宋体" w:eastAsia="宋体" w:cs="宋体"/>
          <w:b/>
          <w:sz w:val="32"/>
          <w:szCs w:val="32"/>
        </w:rPr>
        <w:t>2017年度一般公共预算“三公”经费支出决算表</w:t>
      </w:r>
    </w:p>
    <w:p>
      <w:pPr>
        <w:ind w:right="300"/>
        <w:jc w:val="right"/>
        <w:rPr>
          <w:rFonts w:hint="eastAsia" w:ascii="宋体" w:hAnsi="宋体" w:eastAsia="宋体" w:cs="宋体"/>
          <w:color w:val="000000"/>
          <w:sz w:val="15"/>
          <w:szCs w:val="15"/>
        </w:rPr>
      </w:pPr>
      <w:r>
        <w:rPr>
          <w:rFonts w:hint="eastAsia" w:ascii="宋体" w:hAnsi="宋体" w:eastAsia="宋体" w:cs="宋体"/>
          <w:color w:val="000000"/>
          <w:sz w:val="15"/>
          <w:szCs w:val="15"/>
        </w:rPr>
        <w:t>公开08表</w:t>
      </w:r>
    </w:p>
    <w:p>
      <w:pPr>
        <w:wordWrap w:val="0"/>
        <w:jc w:val="right"/>
        <w:rPr>
          <w:rFonts w:hint="eastAsia" w:ascii="宋体" w:hAnsi="宋体" w:eastAsia="宋体" w:cs="宋体"/>
          <w:color w:val="000000"/>
          <w:sz w:val="15"/>
          <w:szCs w:val="15"/>
        </w:rPr>
      </w:pPr>
      <w:r>
        <w:rPr>
          <w:rFonts w:hint="eastAsia" w:ascii="宋体" w:hAnsi="宋体" w:eastAsia="宋体" w:cs="宋体"/>
          <w:color w:val="000000"/>
          <w:sz w:val="15"/>
          <w:szCs w:val="15"/>
        </w:rPr>
        <w:t xml:space="preserve">  金额单位：万元</w:t>
      </w:r>
    </w:p>
    <w:p>
      <w:pPr>
        <w:jc w:val="left"/>
        <w:rPr>
          <w:rFonts w:hint="eastAsia" w:ascii="宋体" w:hAnsi="宋体" w:eastAsia="宋体" w:cs="宋体"/>
          <w:color w:val="000000"/>
          <w:sz w:val="20"/>
          <w:szCs w:val="20"/>
        </w:rPr>
      </w:pPr>
      <w:r>
        <w:rPr>
          <w:rFonts w:hint="eastAsia" w:ascii="宋体" w:hAnsi="宋体" w:eastAsia="宋体" w:cs="宋体"/>
          <w:color w:val="000000"/>
          <w:sz w:val="20"/>
          <w:szCs w:val="20"/>
        </w:rPr>
        <w:t>部门：</w:t>
      </w:r>
      <w:r>
        <w:rPr>
          <w:rFonts w:hint="eastAsia" w:ascii="宋体" w:hAnsi="宋体" w:eastAsia="宋体" w:cs="宋体"/>
          <w:color w:val="auto"/>
          <w:sz w:val="18"/>
          <w:szCs w:val="18"/>
        </w:rPr>
        <w:t>温州市残疾人联合会（汇总）</w:t>
      </w:r>
    </w:p>
    <w:tbl>
      <w:tblPr>
        <w:tblStyle w:val="6"/>
        <w:tblW w:w="10490" w:type="dxa"/>
        <w:tblInd w:w="-176" w:type="dxa"/>
        <w:tblLayout w:type="fixed"/>
        <w:tblCellMar>
          <w:top w:w="0" w:type="dxa"/>
          <w:left w:w="108" w:type="dxa"/>
          <w:bottom w:w="0" w:type="dxa"/>
          <w:right w:w="108" w:type="dxa"/>
        </w:tblCellMar>
      </w:tblPr>
      <w:tblGrid>
        <w:gridCol w:w="851"/>
        <w:gridCol w:w="1038"/>
        <w:gridCol w:w="820"/>
        <w:gridCol w:w="900"/>
        <w:gridCol w:w="940"/>
        <w:gridCol w:w="760"/>
        <w:gridCol w:w="820"/>
        <w:gridCol w:w="800"/>
        <w:gridCol w:w="820"/>
        <w:gridCol w:w="960"/>
        <w:gridCol w:w="960"/>
        <w:gridCol w:w="821"/>
      </w:tblGrid>
      <w:tr>
        <w:tblPrEx>
          <w:tblLayout w:type="fixed"/>
          <w:tblCellMar>
            <w:top w:w="0" w:type="dxa"/>
            <w:left w:w="108" w:type="dxa"/>
            <w:bottom w:w="0" w:type="dxa"/>
            <w:right w:w="108" w:type="dxa"/>
          </w:tblCellMar>
        </w:tblPrEx>
        <w:trPr>
          <w:trHeight w:val="675" w:hRule="atLeast"/>
        </w:trPr>
        <w:tc>
          <w:tcPr>
            <w:tcW w:w="5309"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预算数</w:t>
            </w:r>
          </w:p>
        </w:tc>
        <w:tc>
          <w:tcPr>
            <w:tcW w:w="5181"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r>
      <w:tr>
        <w:tblPrEx>
          <w:tblLayout w:type="fixed"/>
          <w:tblCellMar>
            <w:top w:w="0" w:type="dxa"/>
            <w:left w:w="108" w:type="dxa"/>
            <w:bottom w:w="0" w:type="dxa"/>
            <w:right w:w="108" w:type="dxa"/>
          </w:tblCellMar>
        </w:tblPrEx>
        <w:trPr>
          <w:trHeight w:val="240" w:hRule="atLeast"/>
        </w:trPr>
        <w:tc>
          <w:tcPr>
            <w:tcW w:w="85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1038"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因公出国（境）费</w:t>
            </w:r>
          </w:p>
        </w:tc>
        <w:tc>
          <w:tcPr>
            <w:tcW w:w="266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公务用车购置及运行费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公务接待费</w:t>
            </w:r>
          </w:p>
        </w:tc>
        <w:tc>
          <w:tcPr>
            <w:tcW w:w="82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80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因公出国（境）费</w:t>
            </w:r>
          </w:p>
        </w:tc>
        <w:tc>
          <w:tcPr>
            <w:tcW w:w="274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公务用车购置及运行费</w:t>
            </w:r>
          </w:p>
        </w:tc>
        <w:tc>
          <w:tcPr>
            <w:tcW w:w="82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公务接待费</w:t>
            </w:r>
          </w:p>
        </w:tc>
      </w:tr>
      <w:tr>
        <w:tblPrEx>
          <w:tblLayout w:type="fixed"/>
          <w:tblCellMar>
            <w:top w:w="0" w:type="dxa"/>
            <w:left w:w="108" w:type="dxa"/>
            <w:bottom w:w="0" w:type="dxa"/>
            <w:right w:w="108" w:type="dxa"/>
          </w:tblCellMar>
        </w:tblPrEx>
        <w:trPr>
          <w:trHeight w:val="93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6"/>
                <w:szCs w:val="16"/>
              </w:rPr>
            </w:pPr>
          </w:p>
        </w:tc>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公务用车购置费</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公务用车运行费</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6"/>
                <w:szCs w:val="16"/>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6"/>
                <w:szCs w:val="16"/>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公务用车购置费</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公务用车运行费</w:t>
            </w: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6"/>
                <w:szCs w:val="16"/>
              </w:rPr>
            </w:pPr>
          </w:p>
        </w:tc>
      </w:tr>
      <w:tr>
        <w:tblPrEx>
          <w:tblLayout w:type="fixed"/>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1038"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80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821"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12</w:t>
            </w:r>
          </w:p>
        </w:tc>
      </w:tr>
      <w:tr>
        <w:tblPrEx>
          <w:tblLayout w:type="fixed"/>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11.80</w:t>
            </w:r>
          </w:p>
        </w:tc>
        <w:tc>
          <w:tcPr>
            <w:tcW w:w="103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5.00</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p>
        </w:tc>
        <w:tc>
          <w:tcPr>
            <w:tcW w:w="7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6.8</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4.57</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4.02</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p>
        </w:tc>
        <w:tc>
          <w:tcPr>
            <w:tcW w:w="821"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0.55</w:t>
            </w:r>
          </w:p>
        </w:tc>
      </w:tr>
      <w:tr>
        <w:tblPrEx>
          <w:tblLayout w:type="fixed"/>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3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21"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bl>
    <w:p>
      <w:pPr>
        <w:autoSpaceDE w:val="0"/>
        <w:autoSpaceDN w:val="0"/>
        <w:adjustRightInd w:val="0"/>
        <w:spacing w:line="560" w:lineRule="exact"/>
        <w:rPr>
          <w:rFonts w:hint="eastAsia" w:ascii="宋体" w:hAnsi="宋体" w:eastAsia="宋体" w:cs="宋体"/>
          <w:sz w:val="32"/>
          <w:szCs w:val="32"/>
        </w:rPr>
      </w:pP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sz w:val="24"/>
          <w:szCs w:val="24"/>
          <w:lang w:val="zh-CN"/>
        </w:rPr>
        <w:t>三、</w:t>
      </w:r>
      <w:r>
        <w:rPr>
          <w:rFonts w:hint="eastAsia" w:ascii="宋体" w:hAnsi="宋体" w:eastAsia="宋体" w:cs="宋体"/>
          <w:color w:val="000000"/>
          <w:sz w:val="24"/>
          <w:szCs w:val="24"/>
        </w:rPr>
        <w:t>2017年度部门决算情况说明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（一）收入支出决算总体情况</w:t>
      </w:r>
    </w:p>
    <w:p>
      <w:pPr>
        <w:autoSpaceDE w:val="0"/>
        <w:autoSpaceDN w:val="0"/>
        <w:adjustRightInd w:val="0"/>
        <w:spacing w:line="360" w:lineRule="auto"/>
        <w:ind w:firstLine="627"/>
        <w:rPr>
          <w:rFonts w:hint="eastAsia" w:ascii="宋体" w:hAnsi="宋体" w:eastAsia="宋体" w:cs="宋体"/>
          <w:color w:val="000000"/>
          <w:sz w:val="20"/>
          <w:szCs w:val="20"/>
        </w:rPr>
      </w:pPr>
      <w:r>
        <w:rPr>
          <w:rFonts w:hint="eastAsia" w:ascii="宋体" w:hAnsi="宋体" w:eastAsia="宋体" w:cs="宋体"/>
          <w:color w:val="000000"/>
          <w:sz w:val="20"/>
          <w:szCs w:val="20"/>
        </w:rPr>
        <w:t>1、2017年度收入总计</w:t>
      </w:r>
      <w:r>
        <w:rPr>
          <w:rFonts w:hint="eastAsia" w:ascii="宋体" w:hAnsi="宋体" w:eastAsia="宋体" w:cs="宋体"/>
          <w:color w:val="000000"/>
          <w:sz w:val="20"/>
          <w:szCs w:val="20"/>
          <w:lang w:val="en-US" w:eastAsia="zh-CN"/>
        </w:rPr>
        <w:t>2838.05</w:t>
      </w:r>
      <w:r>
        <w:rPr>
          <w:rFonts w:hint="eastAsia" w:ascii="宋体" w:hAnsi="宋体" w:eastAsia="宋体" w:cs="宋体"/>
          <w:color w:val="000000"/>
          <w:sz w:val="20"/>
          <w:szCs w:val="20"/>
        </w:rPr>
        <w:t>万元,具体情况如下：</w:t>
      </w:r>
    </w:p>
    <w:p>
      <w:pPr>
        <w:autoSpaceDE w:val="0"/>
        <w:autoSpaceDN w:val="0"/>
        <w:adjustRightInd w:val="0"/>
        <w:spacing w:line="360" w:lineRule="auto"/>
        <w:ind w:firstLine="627"/>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（1）财政拨款收入</w:t>
      </w:r>
      <w:r>
        <w:rPr>
          <w:rFonts w:hint="eastAsia" w:ascii="宋体" w:hAnsi="宋体" w:eastAsia="宋体" w:cs="宋体"/>
          <w:color w:val="000000"/>
          <w:sz w:val="20"/>
          <w:szCs w:val="20"/>
          <w:lang w:val="en-US" w:eastAsia="zh-CN"/>
        </w:rPr>
        <w:t>2838.05</w:t>
      </w:r>
      <w:r>
        <w:rPr>
          <w:rFonts w:hint="eastAsia" w:ascii="宋体" w:hAnsi="宋体" w:eastAsia="宋体" w:cs="宋体"/>
          <w:color w:val="000000"/>
          <w:sz w:val="20"/>
          <w:szCs w:val="20"/>
        </w:rPr>
        <w:t>万元，较上年</w:t>
      </w:r>
      <w:r>
        <w:rPr>
          <w:rFonts w:hint="eastAsia" w:ascii="宋体" w:hAnsi="宋体" w:eastAsia="宋体" w:cs="宋体"/>
          <w:color w:val="000000"/>
          <w:sz w:val="20"/>
          <w:szCs w:val="20"/>
          <w:lang w:val="en-US" w:eastAsia="zh-CN"/>
        </w:rPr>
        <w:t>3714.81万元</w:t>
      </w:r>
      <w:r>
        <w:rPr>
          <w:rFonts w:hint="eastAsia" w:ascii="宋体" w:hAnsi="宋体" w:eastAsia="宋体" w:cs="宋体"/>
          <w:color w:val="000000"/>
          <w:sz w:val="20"/>
          <w:szCs w:val="20"/>
        </w:rPr>
        <w:t>减少</w:t>
      </w:r>
      <w:r>
        <w:rPr>
          <w:rFonts w:hint="eastAsia" w:ascii="宋体" w:hAnsi="宋体" w:eastAsia="宋体" w:cs="宋体"/>
          <w:color w:val="000000"/>
          <w:sz w:val="20"/>
          <w:szCs w:val="20"/>
          <w:lang w:val="en-US" w:eastAsia="zh-CN"/>
        </w:rPr>
        <w:t>876.76</w:t>
      </w:r>
      <w:r>
        <w:rPr>
          <w:rFonts w:hint="eastAsia" w:ascii="宋体" w:hAnsi="宋体" w:eastAsia="宋体" w:cs="宋体"/>
          <w:color w:val="000000"/>
          <w:sz w:val="20"/>
          <w:szCs w:val="20"/>
        </w:rPr>
        <w:t>万元，下降</w:t>
      </w:r>
      <w:r>
        <w:rPr>
          <w:rFonts w:hint="eastAsia" w:ascii="宋体" w:hAnsi="宋体" w:eastAsia="宋体" w:cs="宋体"/>
          <w:color w:val="000000"/>
          <w:sz w:val="20"/>
          <w:szCs w:val="20"/>
          <w:lang w:val="en-US" w:eastAsia="zh-CN"/>
        </w:rPr>
        <w:t>23.6</w:t>
      </w:r>
      <w:r>
        <w:rPr>
          <w:rFonts w:hint="eastAsia" w:ascii="宋体" w:hAnsi="宋体" w:eastAsia="宋体" w:cs="宋体"/>
          <w:color w:val="000000"/>
          <w:sz w:val="20"/>
          <w:szCs w:val="20"/>
        </w:rPr>
        <w:t>%，主要原因是</w:t>
      </w:r>
      <w:r>
        <w:rPr>
          <w:rFonts w:hint="eastAsia" w:ascii="宋体" w:hAnsi="宋体" w:eastAsia="宋体" w:cs="宋体"/>
          <w:color w:val="000000"/>
          <w:sz w:val="20"/>
          <w:szCs w:val="20"/>
          <w:lang w:eastAsia="zh-CN"/>
        </w:rPr>
        <w:t>位于</w:t>
      </w:r>
      <w:r>
        <w:rPr>
          <w:rFonts w:hint="eastAsia" w:ascii="宋体" w:hAnsi="宋体" w:eastAsia="宋体" w:cs="宋体"/>
          <w:color w:val="000000"/>
          <w:sz w:val="20"/>
          <w:szCs w:val="20"/>
        </w:rPr>
        <w:t>龙湾残疾人康复中心工程项目施工建设</w:t>
      </w:r>
      <w:r>
        <w:rPr>
          <w:rFonts w:hint="eastAsia" w:ascii="宋体" w:hAnsi="宋体" w:eastAsia="宋体" w:cs="宋体"/>
          <w:color w:val="000000"/>
          <w:sz w:val="20"/>
          <w:szCs w:val="20"/>
          <w:lang w:eastAsia="zh-CN"/>
        </w:rPr>
        <w:t>因龙湾区配套基础道路未修筑、功能变更等原因，主体联合验收无法开展而暂停工程进度。</w:t>
      </w:r>
    </w:p>
    <w:p>
      <w:pPr>
        <w:autoSpaceDE w:val="0"/>
        <w:autoSpaceDN w:val="0"/>
        <w:adjustRightInd w:val="0"/>
        <w:spacing w:line="360" w:lineRule="auto"/>
        <w:ind w:firstLine="627"/>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（2）年初结转和结余</w:t>
      </w:r>
      <w:r>
        <w:rPr>
          <w:rFonts w:hint="eastAsia" w:ascii="宋体" w:hAnsi="宋体" w:eastAsia="宋体" w:cs="宋体"/>
          <w:color w:val="000000"/>
          <w:sz w:val="20"/>
          <w:szCs w:val="20"/>
          <w:lang w:val="en-US" w:eastAsia="zh-CN"/>
        </w:rPr>
        <w:t>0.12</w:t>
      </w:r>
      <w:r>
        <w:rPr>
          <w:rFonts w:hint="eastAsia" w:ascii="宋体" w:hAnsi="宋体" w:eastAsia="宋体" w:cs="宋体"/>
          <w:color w:val="000000"/>
          <w:sz w:val="20"/>
          <w:szCs w:val="20"/>
        </w:rPr>
        <w:t>万元，较上年23.16</w:t>
      </w:r>
      <w:r>
        <w:rPr>
          <w:rFonts w:hint="eastAsia" w:ascii="宋体" w:hAnsi="宋体" w:eastAsia="宋体" w:cs="宋体"/>
          <w:color w:val="000000"/>
          <w:sz w:val="20"/>
          <w:szCs w:val="20"/>
          <w:lang w:eastAsia="zh-CN"/>
        </w:rPr>
        <w:t>万元</w:t>
      </w:r>
      <w:r>
        <w:rPr>
          <w:rFonts w:hint="eastAsia" w:ascii="宋体" w:hAnsi="宋体" w:eastAsia="宋体" w:cs="宋体"/>
          <w:color w:val="000000"/>
          <w:sz w:val="20"/>
          <w:szCs w:val="20"/>
        </w:rPr>
        <w:t>减少</w:t>
      </w:r>
      <w:r>
        <w:rPr>
          <w:rFonts w:hint="eastAsia" w:ascii="宋体" w:hAnsi="宋体" w:eastAsia="宋体" w:cs="宋体"/>
          <w:color w:val="000000"/>
          <w:sz w:val="20"/>
          <w:szCs w:val="20"/>
          <w:lang w:val="en-US" w:eastAsia="zh-CN"/>
        </w:rPr>
        <w:t>23.04</w:t>
      </w:r>
      <w:r>
        <w:rPr>
          <w:rFonts w:hint="eastAsia" w:ascii="宋体" w:hAnsi="宋体" w:eastAsia="宋体" w:cs="宋体"/>
          <w:color w:val="000000"/>
          <w:sz w:val="20"/>
          <w:szCs w:val="20"/>
        </w:rPr>
        <w:t>万元，下降</w:t>
      </w:r>
      <w:r>
        <w:rPr>
          <w:rFonts w:hint="eastAsia" w:ascii="宋体" w:hAnsi="宋体" w:eastAsia="宋体" w:cs="宋体"/>
          <w:color w:val="000000"/>
          <w:sz w:val="20"/>
          <w:szCs w:val="20"/>
          <w:lang w:val="en-US" w:eastAsia="zh-CN"/>
        </w:rPr>
        <w:t>99.48</w:t>
      </w:r>
      <w:r>
        <w:rPr>
          <w:rFonts w:hint="eastAsia" w:ascii="宋体" w:hAnsi="宋体" w:eastAsia="宋体" w:cs="宋体"/>
          <w:color w:val="000000"/>
          <w:sz w:val="20"/>
          <w:szCs w:val="20"/>
        </w:rPr>
        <w:t>%，主要原因是</w:t>
      </w:r>
      <w:r>
        <w:rPr>
          <w:rFonts w:hint="eastAsia" w:ascii="宋体" w:hAnsi="宋体" w:eastAsia="宋体" w:cs="宋体"/>
          <w:color w:val="000000"/>
          <w:sz w:val="20"/>
          <w:szCs w:val="20"/>
          <w:lang w:eastAsia="zh-CN"/>
        </w:rPr>
        <w:t>资金使用与暂存款收回市财政。</w:t>
      </w:r>
    </w:p>
    <w:p>
      <w:p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2、2017年度支出总计</w:t>
      </w:r>
      <w:r>
        <w:rPr>
          <w:rFonts w:hint="eastAsia" w:ascii="宋体" w:hAnsi="宋体" w:eastAsia="宋体" w:cs="宋体"/>
          <w:sz w:val="20"/>
          <w:szCs w:val="20"/>
          <w:lang w:val="en-US" w:eastAsia="zh-CN"/>
        </w:rPr>
        <w:t>2838.17</w:t>
      </w:r>
      <w:r>
        <w:rPr>
          <w:rFonts w:hint="eastAsia" w:ascii="宋体" w:hAnsi="宋体" w:eastAsia="宋体" w:cs="宋体"/>
          <w:color w:val="000000"/>
          <w:sz w:val="20"/>
          <w:szCs w:val="20"/>
        </w:rPr>
        <w:t>万元，具体情况如下：</w:t>
      </w:r>
    </w:p>
    <w:p>
      <w:pPr>
        <w:autoSpaceDE w:val="0"/>
        <w:autoSpaceDN w:val="0"/>
        <w:adjustRightInd w:val="0"/>
        <w:spacing w:line="360" w:lineRule="auto"/>
        <w:ind w:firstLine="627"/>
        <w:rPr>
          <w:rFonts w:hint="eastAsia" w:ascii="宋体" w:hAnsi="宋体" w:eastAsia="宋体" w:cs="宋体"/>
          <w:color w:val="000000"/>
          <w:sz w:val="20"/>
          <w:szCs w:val="20"/>
        </w:rPr>
      </w:pPr>
      <w:r>
        <w:rPr>
          <w:rFonts w:hint="eastAsia" w:ascii="宋体" w:hAnsi="宋体" w:eastAsia="宋体" w:cs="宋体"/>
          <w:color w:val="000000"/>
          <w:sz w:val="20"/>
          <w:szCs w:val="20"/>
        </w:rPr>
        <w:t>（1）社会保障和就业支出（类）</w:t>
      </w:r>
      <w:r>
        <w:rPr>
          <w:rFonts w:hint="eastAsia" w:ascii="宋体" w:hAnsi="宋体" w:eastAsia="宋体" w:cs="宋体"/>
          <w:color w:val="000000"/>
          <w:sz w:val="20"/>
          <w:szCs w:val="20"/>
          <w:lang w:val="en-US" w:eastAsia="zh-CN"/>
        </w:rPr>
        <w:t>2579.45</w:t>
      </w:r>
      <w:r>
        <w:rPr>
          <w:rFonts w:hint="eastAsia" w:ascii="宋体" w:hAnsi="宋体" w:eastAsia="宋体" w:cs="宋体"/>
          <w:color w:val="000000"/>
          <w:sz w:val="20"/>
          <w:szCs w:val="20"/>
        </w:rPr>
        <w:t>万元，主要用于行政运行、一般行政管理事务、残疾人康复、残疾人体育、其他残疾人事业支出。较上年2728.22</w:t>
      </w:r>
      <w:r>
        <w:rPr>
          <w:rFonts w:hint="eastAsia" w:ascii="宋体" w:hAnsi="宋体" w:eastAsia="宋体" w:cs="宋体"/>
          <w:color w:val="000000"/>
          <w:sz w:val="20"/>
          <w:szCs w:val="20"/>
          <w:lang w:eastAsia="zh-CN"/>
        </w:rPr>
        <w:t>万元减少</w:t>
      </w:r>
      <w:r>
        <w:rPr>
          <w:rFonts w:hint="eastAsia" w:ascii="宋体" w:hAnsi="宋体" w:eastAsia="宋体" w:cs="宋体"/>
          <w:color w:val="000000"/>
          <w:sz w:val="20"/>
          <w:szCs w:val="20"/>
          <w:lang w:val="en-US" w:eastAsia="zh-CN"/>
        </w:rPr>
        <w:t>148.77</w:t>
      </w:r>
      <w:r>
        <w:rPr>
          <w:rFonts w:hint="eastAsia" w:ascii="宋体" w:hAnsi="宋体" w:eastAsia="宋体" w:cs="宋体"/>
          <w:color w:val="000000"/>
          <w:sz w:val="20"/>
          <w:szCs w:val="20"/>
        </w:rPr>
        <w:t>万元，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5.45</w:t>
      </w:r>
      <w:r>
        <w:rPr>
          <w:rFonts w:hint="eastAsia" w:ascii="宋体" w:hAnsi="宋体" w:eastAsia="宋体" w:cs="宋体"/>
          <w:color w:val="000000"/>
          <w:sz w:val="20"/>
          <w:szCs w:val="20"/>
        </w:rPr>
        <w:t>%，主要原因为一般行政管理事务</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12.95</w:t>
      </w:r>
      <w:r>
        <w:rPr>
          <w:rFonts w:hint="eastAsia" w:ascii="宋体" w:hAnsi="宋体" w:eastAsia="宋体" w:cs="宋体"/>
          <w:color w:val="000000"/>
          <w:sz w:val="20"/>
          <w:szCs w:val="20"/>
        </w:rPr>
        <w:t>万元，残疾人康复</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6.12</w:t>
      </w:r>
      <w:r>
        <w:rPr>
          <w:rFonts w:hint="eastAsia" w:ascii="宋体" w:hAnsi="宋体" w:eastAsia="宋体" w:cs="宋体"/>
          <w:color w:val="000000"/>
          <w:sz w:val="20"/>
          <w:szCs w:val="20"/>
        </w:rPr>
        <w:t>万元、其他残疾人事业支出</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128.91</w:t>
      </w:r>
      <w:r>
        <w:rPr>
          <w:rFonts w:hint="eastAsia" w:ascii="宋体" w:hAnsi="宋体" w:eastAsia="宋体" w:cs="宋体"/>
          <w:color w:val="000000"/>
          <w:sz w:val="20"/>
          <w:szCs w:val="20"/>
        </w:rPr>
        <w:t>万元（基建工程特定项目需要）。</w:t>
      </w:r>
    </w:p>
    <w:p>
      <w:pPr>
        <w:autoSpaceDE w:val="0"/>
        <w:autoSpaceDN w:val="0"/>
        <w:adjustRightInd w:val="0"/>
        <w:spacing w:line="360" w:lineRule="auto"/>
        <w:ind w:firstLine="627"/>
        <w:rPr>
          <w:rFonts w:hint="eastAsia" w:ascii="宋体" w:hAnsi="宋体" w:eastAsia="宋体" w:cs="宋体"/>
          <w:color w:val="000000"/>
          <w:sz w:val="20"/>
          <w:szCs w:val="20"/>
        </w:rPr>
      </w:pPr>
      <w:r>
        <w:rPr>
          <w:rFonts w:hint="eastAsia" w:ascii="宋体" w:hAnsi="宋体" w:eastAsia="宋体" w:cs="宋体"/>
          <w:color w:val="000000"/>
          <w:sz w:val="20"/>
          <w:szCs w:val="20"/>
        </w:rPr>
        <w:t>（2）医疗卫生与计划生育（类）支出</w:t>
      </w:r>
      <w:r>
        <w:rPr>
          <w:rFonts w:hint="eastAsia" w:ascii="宋体" w:hAnsi="宋体" w:eastAsia="宋体" w:cs="宋体"/>
          <w:color w:val="000000"/>
          <w:sz w:val="20"/>
          <w:szCs w:val="20"/>
          <w:lang w:val="en-US" w:eastAsia="zh-CN"/>
        </w:rPr>
        <w:t>40.07</w:t>
      </w:r>
      <w:r>
        <w:rPr>
          <w:rFonts w:hint="eastAsia" w:ascii="宋体" w:hAnsi="宋体" w:eastAsia="宋体" w:cs="宋体"/>
          <w:color w:val="000000"/>
          <w:sz w:val="20"/>
          <w:szCs w:val="20"/>
        </w:rPr>
        <w:t>万元，主要用于人员医疗保险及计划生育支出。较上年38.69</w:t>
      </w:r>
      <w:r>
        <w:rPr>
          <w:rFonts w:hint="eastAsia" w:ascii="宋体" w:hAnsi="宋体" w:eastAsia="宋体" w:cs="宋体"/>
          <w:color w:val="000000"/>
          <w:sz w:val="20"/>
          <w:szCs w:val="20"/>
          <w:lang w:eastAsia="zh-CN"/>
        </w:rPr>
        <w:t>万元</w:t>
      </w:r>
      <w:r>
        <w:rPr>
          <w:rFonts w:hint="eastAsia" w:ascii="宋体" w:hAnsi="宋体" w:eastAsia="宋体" w:cs="宋体"/>
          <w:color w:val="000000"/>
          <w:sz w:val="20"/>
          <w:szCs w:val="20"/>
        </w:rPr>
        <w:t>增加</w:t>
      </w:r>
      <w:r>
        <w:rPr>
          <w:rFonts w:hint="eastAsia" w:ascii="宋体" w:hAnsi="宋体" w:eastAsia="宋体" w:cs="宋体"/>
          <w:color w:val="000000"/>
          <w:sz w:val="20"/>
          <w:szCs w:val="20"/>
          <w:lang w:val="en-US" w:eastAsia="zh-CN"/>
        </w:rPr>
        <w:t>1.38</w:t>
      </w:r>
      <w:r>
        <w:rPr>
          <w:rFonts w:hint="eastAsia" w:ascii="宋体" w:hAnsi="宋体" w:eastAsia="宋体" w:cs="宋体"/>
          <w:color w:val="000000"/>
          <w:sz w:val="20"/>
          <w:szCs w:val="20"/>
        </w:rPr>
        <w:t>万元，增长</w:t>
      </w:r>
      <w:r>
        <w:rPr>
          <w:rFonts w:hint="eastAsia" w:ascii="宋体" w:hAnsi="宋体" w:eastAsia="宋体" w:cs="宋体"/>
          <w:color w:val="000000"/>
          <w:sz w:val="20"/>
          <w:szCs w:val="20"/>
          <w:lang w:val="en-US" w:eastAsia="zh-CN"/>
        </w:rPr>
        <w:t>3.57</w:t>
      </w:r>
      <w:r>
        <w:rPr>
          <w:rFonts w:hint="eastAsia" w:ascii="宋体" w:hAnsi="宋体" w:eastAsia="宋体" w:cs="宋体"/>
          <w:color w:val="000000"/>
          <w:sz w:val="20"/>
          <w:szCs w:val="20"/>
        </w:rPr>
        <w:t>%，主要原因人员医疗保险费用年度正常调增。</w:t>
      </w:r>
    </w:p>
    <w:p>
      <w:pPr>
        <w:autoSpaceDE w:val="0"/>
        <w:autoSpaceDN w:val="0"/>
        <w:adjustRightInd w:val="0"/>
        <w:spacing w:line="360" w:lineRule="auto"/>
        <w:ind w:firstLine="627"/>
        <w:rPr>
          <w:rFonts w:hint="eastAsia" w:ascii="宋体" w:hAnsi="宋体" w:eastAsia="宋体" w:cs="宋体"/>
          <w:color w:val="000000"/>
          <w:sz w:val="20"/>
          <w:szCs w:val="20"/>
        </w:rPr>
      </w:pPr>
      <w:r>
        <w:rPr>
          <w:rFonts w:hint="eastAsia" w:ascii="宋体" w:hAnsi="宋体" w:eastAsia="宋体" w:cs="宋体"/>
          <w:color w:val="000000"/>
          <w:sz w:val="20"/>
          <w:szCs w:val="20"/>
        </w:rPr>
        <w:t>（3）住房保障支出（类）</w:t>
      </w:r>
      <w:r>
        <w:rPr>
          <w:rFonts w:hint="eastAsia" w:ascii="宋体" w:hAnsi="宋体" w:eastAsia="宋体" w:cs="宋体"/>
          <w:color w:val="000000"/>
          <w:sz w:val="20"/>
          <w:szCs w:val="20"/>
          <w:lang w:val="en-US" w:eastAsia="zh-CN"/>
        </w:rPr>
        <w:t>88.65</w:t>
      </w:r>
      <w:r>
        <w:rPr>
          <w:rFonts w:hint="eastAsia" w:ascii="宋体" w:hAnsi="宋体" w:eastAsia="宋体" w:cs="宋体"/>
          <w:color w:val="000000"/>
          <w:sz w:val="20"/>
          <w:szCs w:val="20"/>
        </w:rPr>
        <w:t>万元，主要用于人员住房公积金及购房补贴。较上年63.47</w:t>
      </w:r>
      <w:r>
        <w:rPr>
          <w:rFonts w:hint="eastAsia" w:ascii="宋体" w:hAnsi="宋体" w:eastAsia="宋体" w:cs="宋体"/>
          <w:color w:val="000000"/>
          <w:sz w:val="20"/>
          <w:szCs w:val="20"/>
          <w:lang w:eastAsia="zh-CN"/>
        </w:rPr>
        <w:t>万元</w:t>
      </w:r>
      <w:r>
        <w:rPr>
          <w:rFonts w:hint="eastAsia" w:ascii="宋体" w:hAnsi="宋体" w:eastAsia="宋体" w:cs="宋体"/>
          <w:color w:val="000000"/>
          <w:sz w:val="20"/>
          <w:szCs w:val="20"/>
        </w:rPr>
        <w:t>增加</w:t>
      </w:r>
      <w:r>
        <w:rPr>
          <w:rFonts w:hint="eastAsia" w:ascii="宋体" w:hAnsi="宋体" w:eastAsia="宋体" w:cs="宋体"/>
          <w:color w:val="000000"/>
          <w:sz w:val="20"/>
          <w:szCs w:val="20"/>
          <w:lang w:val="en-US" w:eastAsia="zh-CN"/>
        </w:rPr>
        <w:t>25.18</w:t>
      </w:r>
      <w:r>
        <w:rPr>
          <w:rFonts w:hint="eastAsia" w:ascii="宋体" w:hAnsi="宋体" w:eastAsia="宋体" w:cs="宋体"/>
          <w:color w:val="000000"/>
          <w:sz w:val="20"/>
          <w:szCs w:val="20"/>
        </w:rPr>
        <w:t>万元，增长</w:t>
      </w:r>
      <w:r>
        <w:rPr>
          <w:rFonts w:hint="eastAsia" w:ascii="宋体" w:hAnsi="宋体" w:eastAsia="宋体" w:cs="宋体"/>
          <w:color w:val="000000"/>
          <w:sz w:val="20"/>
          <w:szCs w:val="20"/>
          <w:lang w:val="en-US" w:eastAsia="zh-CN"/>
        </w:rPr>
        <w:t>39.67</w:t>
      </w:r>
      <w:r>
        <w:rPr>
          <w:rFonts w:hint="eastAsia" w:ascii="宋体" w:hAnsi="宋体" w:eastAsia="宋体" w:cs="宋体"/>
          <w:color w:val="000000"/>
          <w:sz w:val="20"/>
          <w:szCs w:val="20"/>
        </w:rPr>
        <w:t>%，主要原因人员住房保障费用年度正常调增。</w:t>
      </w:r>
    </w:p>
    <w:p>
      <w:pPr>
        <w:autoSpaceDE w:val="0"/>
        <w:autoSpaceDN w:val="0"/>
        <w:adjustRightInd w:val="0"/>
        <w:spacing w:line="360" w:lineRule="auto"/>
        <w:ind w:firstLine="627"/>
        <w:rPr>
          <w:rFonts w:hint="eastAsia" w:ascii="宋体" w:hAnsi="宋体" w:eastAsia="宋体" w:cs="宋体"/>
          <w:color w:val="000000"/>
          <w:sz w:val="20"/>
          <w:szCs w:val="20"/>
        </w:rPr>
      </w:pPr>
      <w:r>
        <w:rPr>
          <w:rFonts w:hint="eastAsia" w:ascii="宋体" w:hAnsi="宋体" w:eastAsia="宋体" w:cs="宋体"/>
          <w:color w:val="000000"/>
          <w:sz w:val="20"/>
          <w:szCs w:val="20"/>
        </w:rPr>
        <w:t>（4）</w:t>
      </w:r>
      <w:r>
        <w:rPr>
          <w:rFonts w:hint="eastAsia" w:ascii="宋体" w:hAnsi="宋体" w:eastAsia="宋体" w:cs="宋体"/>
          <w:color w:val="000000"/>
          <w:sz w:val="20"/>
          <w:szCs w:val="20"/>
          <w:lang w:eastAsia="zh-CN"/>
        </w:rPr>
        <w:t>其他支出</w:t>
      </w:r>
      <w:r>
        <w:rPr>
          <w:rFonts w:hint="eastAsia" w:ascii="宋体" w:hAnsi="宋体" w:eastAsia="宋体" w:cs="宋体"/>
          <w:color w:val="000000"/>
          <w:sz w:val="20"/>
          <w:szCs w:val="20"/>
        </w:rPr>
        <w:t>（类）</w:t>
      </w:r>
      <w:r>
        <w:rPr>
          <w:rFonts w:hint="eastAsia" w:ascii="宋体" w:hAnsi="宋体" w:eastAsia="宋体" w:cs="宋体"/>
          <w:color w:val="000000"/>
          <w:sz w:val="20"/>
          <w:szCs w:val="20"/>
          <w:lang w:val="en-US" w:eastAsia="zh-CN"/>
        </w:rPr>
        <w:t>129.89</w:t>
      </w:r>
      <w:r>
        <w:rPr>
          <w:rFonts w:hint="eastAsia" w:ascii="宋体" w:hAnsi="宋体" w:eastAsia="宋体" w:cs="宋体"/>
          <w:color w:val="000000"/>
          <w:sz w:val="20"/>
          <w:szCs w:val="20"/>
        </w:rPr>
        <w:t>万元，主要用于</w:t>
      </w:r>
      <w:r>
        <w:rPr>
          <w:rFonts w:hint="eastAsia" w:ascii="宋体" w:hAnsi="宋体" w:eastAsia="宋体" w:cs="宋体"/>
          <w:color w:val="000000"/>
          <w:sz w:val="20"/>
          <w:szCs w:val="20"/>
          <w:lang w:eastAsia="zh-CN"/>
        </w:rPr>
        <w:t>年度重点工作项目津贴补贴、奖金、绩效工资；康复中心房屋办公楼租赁费、聋儿伙食费等</w:t>
      </w:r>
      <w:r>
        <w:rPr>
          <w:rFonts w:hint="eastAsia" w:ascii="宋体" w:hAnsi="宋体" w:eastAsia="宋体" w:cs="宋体"/>
          <w:color w:val="000000"/>
          <w:sz w:val="20"/>
          <w:szCs w:val="20"/>
        </w:rPr>
        <w:t>。较上年63.47</w:t>
      </w:r>
      <w:r>
        <w:rPr>
          <w:rFonts w:hint="eastAsia" w:ascii="宋体" w:hAnsi="宋体" w:eastAsia="宋体" w:cs="宋体"/>
          <w:color w:val="000000"/>
          <w:sz w:val="20"/>
          <w:szCs w:val="20"/>
          <w:lang w:eastAsia="zh-CN"/>
        </w:rPr>
        <w:t>万元</w:t>
      </w:r>
      <w:r>
        <w:rPr>
          <w:rFonts w:hint="eastAsia" w:ascii="宋体" w:hAnsi="宋体" w:eastAsia="宋体" w:cs="宋体"/>
          <w:color w:val="000000"/>
          <w:sz w:val="20"/>
          <w:szCs w:val="20"/>
        </w:rPr>
        <w:t>增加</w:t>
      </w:r>
      <w:r>
        <w:rPr>
          <w:rFonts w:hint="eastAsia" w:ascii="宋体" w:hAnsi="宋体" w:eastAsia="宋体" w:cs="宋体"/>
          <w:color w:val="000000"/>
          <w:sz w:val="20"/>
          <w:szCs w:val="20"/>
          <w:lang w:val="en-US" w:eastAsia="zh-CN"/>
        </w:rPr>
        <w:t>66.42</w:t>
      </w:r>
      <w:r>
        <w:rPr>
          <w:rFonts w:hint="eastAsia" w:ascii="宋体" w:hAnsi="宋体" w:eastAsia="宋体" w:cs="宋体"/>
          <w:color w:val="000000"/>
          <w:sz w:val="20"/>
          <w:szCs w:val="20"/>
        </w:rPr>
        <w:t>万元，增长</w:t>
      </w:r>
      <w:r>
        <w:rPr>
          <w:rFonts w:hint="eastAsia" w:ascii="宋体" w:hAnsi="宋体" w:eastAsia="宋体" w:cs="宋体"/>
          <w:color w:val="000000"/>
          <w:sz w:val="20"/>
          <w:szCs w:val="20"/>
          <w:lang w:val="en-US" w:eastAsia="zh-CN"/>
        </w:rPr>
        <w:t>104.65</w:t>
      </w:r>
      <w:r>
        <w:rPr>
          <w:rFonts w:hint="eastAsia" w:ascii="宋体" w:hAnsi="宋体" w:eastAsia="宋体" w:cs="宋体"/>
          <w:color w:val="000000"/>
          <w:sz w:val="20"/>
          <w:szCs w:val="20"/>
        </w:rPr>
        <w:t>%，主要原因</w:t>
      </w:r>
      <w:r>
        <w:rPr>
          <w:rFonts w:hint="eastAsia" w:ascii="宋体" w:hAnsi="宋体" w:eastAsia="宋体" w:cs="宋体"/>
          <w:color w:val="000000"/>
          <w:sz w:val="20"/>
          <w:szCs w:val="20"/>
          <w:lang w:eastAsia="zh-CN"/>
        </w:rPr>
        <w:t>为用于年度重点工作项目津贴补贴、奖金、绩效工资的发放</w:t>
      </w:r>
      <w:r>
        <w:rPr>
          <w:rFonts w:hint="eastAsia" w:ascii="宋体" w:hAnsi="宋体" w:eastAsia="宋体" w:cs="宋体"/>
          <w:color w:val="000000"/>
          <w:sz w:val="20"/>
          <w:szCs w:val="20"/>
        </w:rPr>
        <w:t>。</w:t>
      </w:r>
    </w:p>
    <w:p>
      <w:pPr>
        <w:autoSpaceDE w:val="0"/>
        <w:autoSpaceDN w:val="0"/>
        <w:adjustRightInd w:val="0"/>
        <w:spacing w:line="360" w:lineRule="auto"/>
        <w:ind w:firstLine="627"/>
        <w:rPr>
          <w:rFonts w:hint="eastAsia" w:ascii="宋体" w:hAnsi="宋体" w:eastAsia="宋体" w:cs="宋体"/>
          <w:color w:val="000000"/>
          <w:sz w:val="20"/>
          <w:szCs w:val="20"/>
        </w:rPr>
      </w:pPr>
      <w:r>
        <w:rPr>
          <w:rFonts w:hint="eastAsia" w:ascii="宋体" w:hAnsi="宋体" w:eastAsia="宋体" w:cs="宋体"/>
          <w:color w:val="000000"/>
          <w:sz w:val="20"/>
          <w:szCs w:val="20"/>
        </w:rPr>
        <w:t>（5）年末结转和结余（类）</w:t>
      </w:r>
      <w:r>
        <w:rPr>
          <w:rFonts w:hint="eastAsia" w:ascii="宋体" w:hAnsi="宋体" w:eastAsia="宋体" w:cs="宋体"/>
          <w:color w:val="000000"/>
          <w:sz w:val="20"/>
          <w:szCs w:val="20"/>
          <w:lang w:val="en-US" w:eastAsia="zh-CN"/>
        </w:rPr>
        <w:t>0.12</w:t>
      </w:r>
      <w:r>
        <w:rPr>
          <w:rFonts w:hint="eastAsia" w:ascii="宋体" w:hAnsi="宋体" w:eastAsia="宋体" w:cs="宋体"/>
          <w:color w:val="000000"/>
          <w:sz w:val="20"/>
          <w:szCs w:val="20"/>
        </w:rPr>
        <w:t>万元，主要用于以前年度财政预留款及银行存款利息收入。较上年2.25</w:t>
      </w:r>
      <w:r>
        <w:rPr>
          <w:rFonts w:hint="eastAsia" w:ascii="宋体" w:hAnsi="宋体" w:eastAsia="宋体" w:cs="宋体"/>
          <w:color w:val="000000"/>
          <w:sz w:val="20"/>
          <w:szCs w:val="20"/>
          <w:lang w:eastAsia="zh-CN"/>
        </w:rPr>
        <w:t>万元减少</w:t>
      </w:r>
      <w:r>
        <w:rPr>
          <w:rFonts w:hint="eastAsia" w:ascii="宋体" w:hAnsi="宋体" w:eastAsia="宋体" w:cs="宋体"/>
          <w:color w:val="000000"/>
          <w:sz w:val="20"/>
          <w:szCs w:val="20"/>
          <w:lang w:val="en-US" w:eastAsia="zh-CN"/>
        </w:rPr>
        <w:t>2.13</w:t>
      </w:r>
      <w:r>
        <w:rPr>
          <w:rFonts w:hint="eastAsia" w:ascii="宋体" w:hAnsi="宋体" w:eastAsia="宋体" w:cs="宋体"/>
          <w:color w:val="000000"/>
          <w:sz w:val="20"/>
          <w:szCs w:val="20"/>
        </w:rPr>
        <w:t>万元，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94.67</w:t>
      </w:r>
      <w:r>
        <w:rPr>
          <w:rFonts w:hint="eastAsia" w:ascii="宋体" w:hAnsi="宋体" w:eastAsia="宋体" w:cs="宋体"/>
          <w:color w:val="000000"/>
          <w:sz w:val="20"/>
          <w:szCs w:val="20"/>
        </w:rPr>
        <w:t>%，主要原因本年以前年度财政预留款</w:t>
      </w:r>
      <w:r>
        <w:rPr>
          <w:rFonts w:hint="eastAsia" w:ascii="宋体" w:hAnsi="宋体" w:eastAsia="宋体" w:cs="宋体"/>
          <w:color w:val="000000"/>
          <w:sz w:val="20"/>
          <w:szCs w:val="20"/>
          <w:lang w:eastAsia="zh-CN"/>
        </w:rPr>
        <w:t>缴回市财政</w:t>
      </w:r>
      <w:r>
        <w:rPr>
          <w:rFonts w:hint="eastAsia" w:ascii="宋体" w:hAnsi="宋体" w:eastAsia="宋体" w:cs="宋体"/>
          <w:color w:val="000000"/>
          <w:sz w:val="20"/>
          <w:szCs w:val="20"/>
        </w:rPr>
        <w:t>。</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4"/>
          <w:szCs w:val="24"/>
        </w:rPr>
        <w:t>（二）本年收入决算情况</w:t>
      </w:r>
      <w:r>
        <w:rPr>
          <w:rFonts w:hint="eastAsia" w:ascii="宋体" w:hAnsi="宋体" w:eastAsia="宋体" w:cs="宋体"/>
          <w:color w:val="000000"/>
          <w:sz w:val="24"/>
          <w:szCs w:val="24"/>
        </w:rPr>
        <w:br w:type="textWrapping"/>
      </w:r>
      <w:r>
        <w:rPr>
          <w:rFonts w:hint="eastAsia" w:ascii="宋体" w:hAnsi="宋体" w:eastAsia="宋体" w:cs="宋体"/>
          <w:color w:val="000000"/>
          <w:sz w:val="20"/>
          <w:szCs w:val="20"/>
        </w:rPr>
        <w:t>　　2017年度本年收入合计</w:t>
      </w:r>
      <w:r>
        <w:rPr>
          <w:rFonts w:hint="eastAsia" w:ascii="宋体" w:hAnsi="宋体" w:eastAsia="宋体" w:cs="宋体"/>
          <w:sz w:val="20"/>
          <w:szCs w:val="20"/>
          <w:lang w:val="en-US" w:eastAsia="zh-CN"/>
        </w:rPr>
        <w:t>2838.17</w:t>
      </w:r>
      <w:r>
        <w:rPr>
          <w:rFonts w:hint="eastAsia" w:ascii="宋体" w:hAnsi="宋体" w:eastAsia="宋体" w:cs="宋体"/>
          <w:color w:val="000000"/>
          <w:sz w:val="20"/>
          <w:szCs w:val="20"/>
        </w:rPr>
        <w:t>万元，其中：财政拨款</w:t>
      </w:r>
      <w:r>
        <w:rPr>
          <w:rFonts w:hint="eastAsia" w:ascii="宋体" w:hAnsi="宋体" w:eastAsia="宋体" w:cs="宋体"/>
          <w:sz w:val="20"/>
          <w:szCs w:val="20"/>
          <w:lang w:val="en-US" w:eastAsia="zh-CN"/>
        </w:rPr>
        <w:t>2838.05</w:t>
      </w:r>
      <w:r>
        <w:rPr>
          <w:rFonts w:hint="eastAsia" w:ascii="宋体" w:hAnsi="宋体" w:eastAsia="宋体" w:cs="宋体"/>
          <w:color w:val="000000"/>
          <w:sz w:val="20"/>
          <w:szCs w:val="20"/>
        </w:rPr>
        <w:t>万元，占</w:t>
      </w:r>
      <w:r>
        <w:rPr>
          <w:rFonts w:hint="eastAsia" w:ascii="宋体" w:hAnsi="宋体" w:eastAsia="宋体" w:cs="宋体"/>
          <w:color w:val="000000"/>
          <w:sz w:val="20"/>
          <w:szCs w:val="20"/>
          <w:lang w:val="en-US" w:eastAsia="zh-CN"/>
        </w:rPr>
        <w:t>99.9958</w:t>
      </w:r>
      <w:r>
        <w:rPr>
          <w:rFonts w:hint="eastAsia" w:ascii="宋体" w:hAnsi="宋体" w:eastAsia="宋体" w:cs="宋体"/>
          <w:color w:val="000000"/>
          <w:sz w:val="20"/>
          <w:szCs w:val="20"/>
        </w:rPr>
        <w:t>%；年初结转和结余</w:t>
      </w:r>
      <w:r>
        <w:rPr>
          <w:rFonts w:hint="eastAsia" w:ascii="宋体" w:hAnsi="宋体" w:eastAsia="宋体" w:cs="宋体"/>
          <w:color w:val="000000"/>
          <w:sz w:val="20"/>
          <w:szCs w:val="20"/>
          <w:lang w:val="en-US" w:eastAsia="zh-CN"/>
        </w:rPr>
        <w:t>0.12</w:t>
      </w:r>
      <w:r>
        <w:rPr>
          <w:rFonts w:hint="eastAsia" w:ascii="宋体" w:hAnsi="宋体" w:eastAsia="宋体" w:cs="宋体"/>
          <w:color w:val="000000"/>
          <w:sz w:val="20"/>
          <w:szCs w:val="20"/>
        </w:rPr>
        <w:t>万元，占</w:t>
      </w:r>
      <w:r>
        <w:rPr>
          <w:rFonts w:hint="eastAsia" w:ascii="宋体" w:hAnsi="宋体" w:eastAsia="宋体" w:cs="宋体"/>
          <w:color w:val="000000"/>
          <w:sz w:val="20"/>
          <w:szCs w:val="20"/>
          <w:lang w:val="en-US" w:eastAsia="zh-CN"/>
        </w:rPr>
        <w:t>0.0042</w:t>
      </w:r>
      <w:r>
        <w:rPr>
          <w:rFonts w:hint="eastAsia" w:ascii="宋体" w:hAnsi="宋体" w:eastAsia="宋体" w:cs="宋体"/>
          <w:color w:val="000000"/>
          <w:sz w:val="20"/>
          <w:szCs w:val="20"/>
        </w:rPr>
        <w:t>%。</w:t>
      </w:r>
    </w:p>
    <w:p>
      <w:pPr>
        <w:autoSpaceDE w:val="0"/>
        <w:autoSpaceDN w:val="0"/>
        <w:adjustRightInd w:val="0"/>
        <w:spacing w:line="360" w:lineRule="auto"/>
        <w:rPr>
          <w:rFonts w:hint="eastAsia" w:ascii="宋体" w:hAnsi="宋体" w:eastAsia="宋体" w:cs="宋体"/>
          <w:color w:val="000000"/>
          <w:sz w:val="20"/>
          <w:szCs w:val="20"/>
        </w:rPr>
      </w:pPr>
      <w:r>
        <w:rPr>
          <w:rFonts w:hint="eastAsia" w:ascii="宋体" w:hAnsi="宋体" w:eastAsia="宋体" w:cs="宋体"/>
          <w:color w:val="000000"/>
          <w:sz w:val="24"/>
          <w:szCs w:val="24"/>
        </w:rPr>
        <w:t>（三）本年支出决算情况</w:t>
      </w:r>
      <w:r>
        <w:rPr>
          <w:rFonts w:hint="eastAsia" w:ascii="宋体" w:hAnsi="宋体" w:eastAsia="宋体" w:cs="宋体"/>
          <w:color w:val="000000"/>
          <w:sz w:val="24"/>
          <w:szCs w:val="24"/>
        </w:rPr>
        <w:br w:type="textWrapping"/>
      </w:r>
      <w:r>
        <w:rPr>
          <w:rFonts w:hint="eastAsia" w:ascii="宋体" w:hAnsi="宋体" w:eastAsia="宋体" w:cs="宋体"/>
          <w:color w:val="000000"/>
          <w:sz w:val="20"/>
          <w:szCs w:val="20"/>
        </w:rPr>
        <w:t>　　2017年度本年支出合计</w:t>
      </w:r>
      <w:r>
        <w:rPr>
          <w:rFonts w:hint="eastAsia" w:ascii="宋体" w:hAnsi="宋体" w:eastAsia="宋体" w:cs="宋体"/>
          <w:sz w:val="20"/>
          <w:szCs w:val="20"/>
          <w:lang w:val="en-US" w:eastAsia="zh-CN"/>
        </w:rPr>
        <w:t>2838.05</w:t>
      </w:r>
      <w:r>
        <w:rPr>
          <w:rFonts w:hint="eastAsia" w:ascii="宋体" w:hAnsi="宋体" w:eastAsia="宋体" w:cs="宋体"/>
          <w:color w:val="000000"/>
          <w:sz w:val="20"/>
          <w:szCs w:val="20"/>
        </w:rPr>
        <w:t>万元，其中：基本支出</w:t>
      </w:r>
      <w:r>
        <w:rPr>
          <w:rFonts w:hint="eastAsia" w:ascii="宋体" w:hAnsi="宋体" w:eastAsia="宋体" w:cs="宋体"/>
          <w:color w:val="000000"/>
          <w:sz w:val="20"/>
          <w:szCs w:val="20"/>
          <w:lang w:val="en-US" w:eastAsia="zh-CN"/>
        </w:rPr>
        <w:t>1187.36</w:t>
      </w:r>
      <w:r>
        <w:rPr>
          <w:rFonts w:hint="eastAsia" w:ascii="宋体" w:hAnsi="宋体" w:eastAsia="宋体" w:cs="宋体"/>
          <w:color w:val="000000"/>
          <w:sz w:val="20"/>
          <w:szCs w:val="20"/>
        </w:rPr>
        <w:t>万元，占</w:t>
      </w:r>
      <w:r>
        <w:rPr>
          <w:rFonts w:hint="eastAsia" w:ascii="宋体" w:hAnsi="宋体" w:eastAsia="宋体" w:cs="宋体"/>
          <w:color w:val="000000"/>
          <w:sz w:val="20"/>
          <w:szCs w:val="20"/>
          <w:lang w:val="en-US" w:eastAsia="zh-CN"/>
        </w:rPr>
        <w:t>41.84</w:t>
      </w:r>
      <w:r>
        <w:rPr>
          <w:rFonts w:hint="eastAsia" w:ascii="宋体" w:hAnsi="宋体" w:eastAsia="宋体" w:cs="宋体"/>
          <w:color w:val="000000"/>
          <w:sz w:val="20"/>
          <w:szCs w:val="20"/>
        </w:rPr>
        <w:t>%；项目支出</w:t>
      </w:r>
      <w:r>
        <w:rPr>
          <w:rFonts w:hint="eastAsia" w:ascii="宋体" w:hAnsi="宋体" w:eastAsia="宋体" w:cs="宋体"/>
          <w:color w:val="000000"/>
          <w:sz w:val="20"/>
          <w:szCs w:val="20"/>
          <w:lang w:val="en-US" w:eastAsia="zh-CN"/>
        </w:rPr>
        <w:t>1650.7</w:t>
      </w:r>
      <w:r>
        <w:rPr>
          <w:rFonts w:hint="eastAsia" w:ascii="宋体" w:hAnsi="宋体" w:eastAsia="宋体" w:cs="宋体"/>
          <w:color w:val="000000"/>
          <w:sz w:val="20"/>
          <w:szCs w:val="20"/>
        </w:rPr>
        <w:t>万元，占</w:t>
      </w:r>
      <w:r>
        <w:rPr>
          <w:rFonts w:hint="eastAsia" w:ascii="宋体" w:hAnsi="宋体" w:eastAsia="宋体" w:cs="宋体"/>
          <w:color w:val="000000"/>
          <w:sz w:val="20"/>
          <w:szCs w:val="20"/>
          <w:lang w:val="en-US" w:eastAsia="zh-CN"/>
        </w:rPr>
        <w:t>58.16</w:t>
      </w:r>
      <w:r>
        <w:rPr>
          <w:rFonts w:hint="eastAsia" w:ascii="宋体" w:hAnsi="宋体" w:eastAsia="宋体" w:cs="宋体"/>
          <w:color w:val="000000"/>
          <w:sz w:val="20"/>
          <w:szCs w:val="20"/>
        </w:rPr>
        <w:t>%。</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（四）财政拨款收入支出决算情况</w:t>
      </w:r>
    </w:p>
    <w:p>
      <w:pPr>
        <w:autoSpaceDE w:val="0"/>
        <w:autoSpaceDN w:val="0"/>
        <w:adjustRightInd w:val="0"/>
        <w:spacing w:line="360" w:lineRule="auto"/>
        <w:ind w:firstLine="600" w:firstLineChars="300"/>
        <w:rPr>
          <w:rFonts w:hint="eastAsia" w:ascii="宋体" w:hAnsi="宋体" w:eastAsia="宋体" w:cs="宋体"/>
          <w:color w:val="000000"/>
          <w:sz w:val="20"/>
          <w:szCs w:val="20"/>
        </w:rPr>
      </w:pPr>
      <w:r>
        <w:rPr>
          <w:rFonts w:hint="eastAsia" w:ascii="宋体" w:hAnsi="宋体" w:eastAsia="宋体" w:cs="宋体"/>
          <w:color w:val="000000"/>
          <w:sz w:val="20"/>
          <w:szCs w:val="20"/>
        </w:rPr>
        <w:t>2017年度财政拨款收入总计</w:t>
      </w:r>
      <w:r>
        <w:rPr>
          <w:rFonts w:hint="eastAsia" w:ascii="宋体" w:hAnsi="宋体" w:eastAsia="宋体" w:cs="宋体"/>
          <w:color w:val="000000"/>
          <w:sz w:val="20"/>
          <w:szCs w:val="20"/>
          <w:lang w:val="en-US" w:eastAsia="zh-CN"/>
        </w:rPr>
        <w:t>2838.05</w:t>
      </w:r>
      <w:r>
        <w:rPr>
          <w:rFonts w:hint="eastAsia" w:ascii="宋体" w:hAnsi="宋体" w:eastAsia="宋体" w:cs="宋体"/>
          <w:color w:val="000000"/>
          <w:sz w:val="20"/>
          <w:szCs w:val="20"/>
        </w:rPr>
        <w:t>万元，支出总计</w:t>
      </w:r>
      <w:r>
        <w:rPr>
          <w:rFonts w:hint="eastAsia" w:ascii="宋体" w:hAnsi="宋体" w:eastAsia="宋体" w:cs="宋体"/>
          <w:color w:val="000000"/>
          <w:sz w:val="20"/>
          <w:szCs w:val="20"/>
          <w:lang w:val="en-US" w:eastAsia="zh-CN"/>
        </w:rPr>
        <w:t>2838.05</w:t>
      </w:r>
      <w:r>
        <w:rPr>
          <w:rFonts w:hint="eastAsia" w:ascii="宋体" w:hAnsi="宋体" w:eastAsia="宋体" w:cs="宋体"/>
          <w:color w:val="000000"/>
          <w:sz w:val="20"/>
          <w:szCs w:val="20"/>
        </w:rPr>
        <w:t>万元，</w:t>
      </w:r>
      <w:r>
        <w:rPr>
          <w:rFonts w:hint="eastAsia" w:ascii="宋体" w:hAnsi="宋体" w:eastAsia="宋体" w:cs="宋体"/>
          <w:color w:val="000000"/>
          <w:sz w:val="20"/>
          <w:szCs w:val="20"/>
          <w:lang w:eastAsia="zh-CN"/>
        </w:rPr>
        <w:t>收支相等，本年财政拨款收入与支出平衡</w:t>
      </w:r>
      <w:r>
        <w:rPr>
          <w:rFonts w:hint="eastAsia" w:ascii="宋体" w:hAnsi="宋体" w:eastAsia="宋体" w:cs="宋体"/>
          <w:color w:val="000000"/>
          <w:sz w:val="20"/>
          <w:szCs w:val="20"/>
        </w:rPr>
        <w:t>。</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（五）一般公共预算财政拨款支出情况</w:t>
      </w:r>
    </w:p>
    <w:p>
      <w:pPr>
        <w:autoSpaceDE w:val="0"/>
        <w:autoSpaceDN w:val="0"/>
        <w:adjustRightInd w:val="0"/>
        <w:spacing w:line="360" w:lineRule="auto"/>
        <w:ind w:firstLine="480"/>
        <w:rPr>
          <w:rFonts w:hint="eastAsia" w:ascii="宋体" w:hAnsi="宋体" w:eastAsia="宋体" w:cs="宋体"/>
          <w:color w:val="FF0000"/>
          <w:sz w:val="20"/>
          <w:szCs w:val="20"/>
        </w:rPr>
      </w:pPr>
      <w:r>
        <w:rPr>
          <w:rFonts w:hint="eastAsia" w:ascii="宋体" w:hAnsi="宋体" w:eastAsia="宋体" w:cs="宋体"/>
          <w:color w:val="000000"/>
          <w:sz w:val="20"/>
          <w:szCs w:val="20"/>
        </w:rPr>
        <w:t>2017年度部门决算一般公共预算财政拨款支出决算</w:t>
      </w:r>
      <w:r>
        <w:rPr>
          <w:rFonts w:hint="eastAsia" w:ascii="宋体" w:hAnsi="宋体" w:eastAsia="宋体" w:cs="宋体"/>
          <w:color w:val="000000"/>
          <w:sz w:val="20"/>
          <w:szCs w:val="20"/>
          <w:lang w:val="en-US" w:eastAsia="zh-CN"/>
        </w:rPr>
        <w:t>2708.17</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5678.97</w:t>
      </w:r>
      <w:r>
        <w:rPr>
          <w:rFonts w:hint="eastAsia" w:ascii="宋体" w:hAnsi="宋体" w:eastAsia="宋体" w:cs="宋体"/>
          <w:color w:val="000000"/>
          <w:sz w:val="20"/>
          <w:szCs w:val="20"/>
        </w:rPr>
        <w:t>减少</w:t>
      </w:r>
      <w:r>
        <w:rPr>
          <w:rFonts w:hint="eastAsia" w:ascii="宋体" w:hAnsi="宋体" w:eastAsia="宋体" w:cs="宋体"/>
          <w:color w:val="000000"/>
          <w:sz w:val="20"/>
          <w:szCs w:val="20"/>
          <w:lang w:val="en-US" w:eastAsia="zh-CN"/>
        </w:rPr>
        <w:t>2840.92</w:t>
      </w:r>
      <w:r>
        <w:rPr>
          <w:rFonts w:hint="eastAsia" w:ascii="宋体" w:hAnsi="宋体" w:eastAsia="宋体" w:cs="宋体"/>
          <w:color w:val="000000"/>
          <w:sz w:val="20"/>
          <w:szCs w:val="20"/>
        </w:rPr>
        <w:t xml:space="preserve"> 万元，下降</w:t>
      </w:r>
      <w:r>
        <w:rPr>
          <w:rFonts w:hint="eastAsia" w:ascii="宋体" w:hAnsi="宋体" w:eastAsia="宋体" w:cs="宋体"/>
          <w:color w:val="000000"/>
          <w:sz w:val="20"/>
          <w:szCs w:val="20"/>
          <w:lang w:val="en-US" w:eastAsia="zh-CN"/>
        </w:rPr>
        <w:t>50.03</w:t>
      </w:r>
      <w:r>
        <w:rPr>
          <w:rFonts w:hint="eastAsia" w:ascii="宋体" w:hAnsi="宋体" w:eastAsia="宋体" w:cs="宋体"/>
          <w:color w:val="000000"/>
          <w:sz w:val="20"/>
          <w:szCs w:val="20"/>
        </w:rPr>
        <w:t>%。具体情况如下：</w:t>
      </w:r>
    </w:p>
    <w:p>
      <w:pPr>
        <w:numPr>
          <w:ilvl w:val="0"/>
          <w:numId w:val="0"/>
        </w:num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1. </w:t>
      </w:r>
      <w:r>
        <w:rPr>
          <w:rFonts w:hint="eastAsia" w:ascii="宋体" w:hAnsi="宋体" w:eastAsia="宋体" w:cs="宋体"/>
          <w:color w:val="000000"/>
          <w:sz w:val="20"/>
          <w:szCs w:val="20"/>
        </w:rPr>
        <w:t>社会保障和就业支出（类）行政事业单位离退休（款）</w:t>
      </w:r>
      <w:r>
        <w:rPr>
          <w:rFonts w:hint="eastAsia" w:ascii="宋体" w:hAnsi="宋体" w:eastAsia="宋体" w:cs="宋体"/>
          <w:color w:val="000000"/>
          <w:sz w:val="20"/>
          <w:szCs w:val="20"/>
          <w:lang w:eastAsia="zh-CN"/>
        </w:rPr>
        <w:t>机关事业单位基本养老保险缴费支出</w:t>
      </w:r>
      <w:r>
        <w:rPr>
          <w:rFonts w:hint="eastAsia" w:ascii="宋体" w:hAnsi="宋体" w:eastAsia="宋体" w:cs="宋体"/>
          <w:color w:val="000000"/>
          <w:sz w:val="20"/>
          <w:szCs w:val="20"/>
        </w:rPr>
        <w:t>（项）事务支出</w:t>
      </w:r>
      <w:r>
        <w:rPr>
          <w:rFonts w:hint="eastAsia" w:ascii="宋体" w:hAnsi="宋体" w:eastAsia="宋体" w:cs="宋体"/>
          <w:color w:val="000000"/>
          <w:sz w:val="20"/>
          <w:szCs w:val="20"/>
          <w:lang w:val="en-US" w:eastAsia="zh-CN"/>
        </w:rPr>
        <w:t>14.76</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16.25万元</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1.49</w:t>
      </w:r>
      <w:r>
        <w:rPr>
          <w:rFonts w:hint="eastAsia" w:ascii="宋体" w:hAnsi="宋体" w:eastAsia="宋体" w:cs="宋体"/>
          <w:color w:val="000000"/>
          <w:sz w:val="20"/>
          <w:szCs w:val="20"/>
        </w:rPr>
        <w:t>万元，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9.17</w:t>
      </w:r>
      <w:r>
        <w:rPr>
          <w:rFonts w:hint="eastAsia" w:ascii="宋体" w:hAnsi="宋体" w:eastAsia="宋体" w:cs="宋体"/>
          <w:color w:val="000000"/>
          <w:sz w:val="20"/>
          <w:szCs w:val="20"/>
        </w:rPr>
        <w:t>%。主要是</w:t>
      </w:r>
      <w:r>
        <w:rPr>
          <w:rFonts w:hint="eastAsia" w:ascii="宋体" w:hAnsi="宋体" w:eastAsia="宋体" w:cs="宋体"/>
          <w:color w:val="000000"/>
          <w:sz w:val="20"/>
          <w:szCs w:val="20"/>
          <w:lang w:eastAsia="zh-CN"/>
        </w:rPr>
        <w:t>年度内</w:t>
      </w:r>
      <w:r>
        <w:rPr>
          <w:rFonts w:hint="eastAsia" w:ascii="宋体" w:hAnsi="宋体" w:eastAsia="宋体" w:cs="宋体"/>
          <w:color w:val="000000"/>
          <w:sz w:val="20"/>
          <w:szCs w:val="20"/>
        </w:rPr>
        <w:t>人员</w:t>
      </w:r>
      <w:r>
        <w:rPr>
          <w:rFonts w:hint="eastAsia" w:ascii="宋体" w:hAnsi="宋体" w:eastAsia="宋体" w:cs="宋体"/>
          <w:color w:val="000000"/>
          <w:sz w:val="20"/>
          <w:szCs w:val="20"/>
          <w:lang w:eastAsia="zh-CN"/>
        </w:rPr>
        <w:t>退休与辞职，未补充人员</w:t>
      </w:r>
      <w:r>
        <w:rPr>
          <w:rFonts w:hint="eastAsia" w:ascii="宋体" w:hAnsi="宋体" w:eastAsia="宋体" w:cs="宋体"/>
          <w:color w:val="000000"/>
          <w:sz w:val="20"/>
          <w:szCs w:val="20"/>
        </w:rPr>
        <w:t>。</w:t>
      </w:r>
    </w:p>
    <w:p>
      <w:pPr>
        <w:numPr>
          <w:ilvl w:val="0"/>
          <w:numId w:val="0"/>
        </w:numPr>
        <w:autoSpaceDE w:val="0"/>
        <w:autoSpaceDN w:val="0"/>
        <w:adjustRightInd w:val="0"/>
        <w:spacing w:line="360" w:lineRule="auto"/>
        <w:ind w:firstLine="400" w:firstLineChars="20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2. </w:t>
      </w:r>
      <w:r>
        <w:rPr>
          <w:rFonts w:hint="eastAsia" w:ascii="宋体" w:hAnsi="宋体" w:eastAsia="宋体" w:cs="宋体"/>
          <w:color w:val="000000"/>
          <w:sz w:val="20"/>
          <w:szCs w:val="20"/>
        </w:rPr>
        <w:t>社会保障和就业支出（类）行政事业单位离退休（款）</w:t>
      </w:r>
      <w:r>
        <w:rPr>
          <w:rFonts w:hint="eastAsia" w:ascii="宋体" w:hAnsi="宋体" w:eastAsia="宋体" w:cs="宋体"/>
          <w:color w:val="000000"/>
          <w:sz w:val="20"/>
          <w:szCs w:val="20"/>
          <w:lang w:eastAsia="zh-CN"/>
        </w:rPr>
        <w:t>机关事业单位职业年金缴费支出</w:t>
      </w:r>
      <w:r>
        <w:rPr>
          <w:rFonts w:hint="eastAsia" w:ascii="宋体" w:hAnsi="宋体" w:eastAsia="宋体" w:cs="宋体"/>
          <w:color w:val="000000"/>
          <w:sz w:val="20"/>
          <w:szCs w:val="20"/>
        </w:rPr>
        <w:t>（项）事务支出</w:t>
      </w:r>
      <w:r>
        <w:rPr>
          <w:rFonts w:hint="eastAsia" w:ascii="宋体" w:hAnsi="宋体" w:eastAsia="宋体" w:cs="宋体"/>
          <w:color w:val="000000"/>
          <w:sz w:val="20"/>
          <w:szCs w:val="20"/>
          <w:lang w:val="en-US" w:eastAsia="zh-CN"/>
        </w:rPr>
        <w:t>4.00</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4.00万元</w:t>
      </w:r>
      <w:r>
        <w:rPr>
          <w:rFonts w:hint="eastAsia" w:ascii="宋体" w:hAnsi="宋体" w:eastAsia="宋体" w:cs="宋体"/>
          <w:color w:val="000000"/>
          <w:sz w:val="20"/>
          <w:szCs w:val="20"/>
        </w:rPr>
        <w:t>增加</w:t>
      </w:r>
      <w:r>
        <w:rPr>
          <w:rFonts w:hint="eastAsia" w:ascii="宋体" w:hAnsi="宋体" w:eastAsia="宋体" w:cs="宋体"/>
          <w:color w:val="000000"/>
          <w:sz w:val="20"/>
          <w:szCs w:val="20"/>
          <w:lang w:val="en-US" w:eastAsia="zh-CN"/>
        </w:rPr>
        <w:t>0.00</w:t>
      </w:r>
      <w:r>
        <w:rPr>
          <w:rFonts w:hint="eastAsia" w:ascii="宋体" w:hAnsi="宋体" w:eastAsia="宋体" w:cs="宋体"/>
          <w:color w:val="000000"/>
          <w:sz w:val="20"/>
          <w:szCs w:val="20"/>
        </w:rPr>
        <w:t>万元，增长</w:t>
      </w:r>
      <w:r>
        <w:rPr>
          <w:rFonts w:hint="eastAsia" w:ascii="宋体" w:hAnsi="宋体" w:eastAsia="宋体" w:cs="宋体"/>
          <w:color w:val="000000"/>
          <w:sz w:val="20"/>
          <w:szCs w:val="20"/>
          <w:lang w:val="en-US" w:eastAsia="zh-CN"/>
        </w:rPr>
        <w:t>0.00</w:t>
      </w:r>
      <w:r>
        <w:rPr>
          <w:rFonts w:hint="eastAsia" w:ascii="宋体" w:hAnsi="宋体" w:eastAsia="宋体" w:cs="宋体"/>
          <w:color w:val="000000"/>
          <w:sz w:val="20"/>
          <w:szCs w:val="20"/>
        </w:rPr>
        <w:t>%。</w:t>
      </w:r>
      <w:r>
        <w:rPr>
          <w:rFonts w:hint="eastAsia" w:ascii="宋体" w:hAnsi="宋体" w:eastAsia="宋体" w:cs="宋体"/>
          <w:color w:val="000000"/>
          <w:sz w:val="20"/>
          <w:szCs w:val="20"/>
          <w:lang w:eastAsia="zh-CN"/>
        </w:rPr>
        <w:t>本年预决算相等</w:t>
      </w:r>
      <w:r>
        <w:rPr>
          <w:rFonts w:hint="eastAsia" w:ascii="宋体" w:hAnsi="宋体" w:eastAsia="宋体" w:cs="宋体"/>
          <w:color w:val="000000"/>
          <w:sz w:val="20"/>
          <w:szCs w:val="20"/>
        </w:rPr>
        <w:t>。</w:t>
      </w:r>
    </w:p>
    <w:p>
      <w:pPr>
        <w:numPr>
          <w:ilvl w:val="0"/>
          <w:numId w:val="0"/>
        </w:num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 </w:t>
      </w:r>
      <w:r>
        <w:rPr>
          <w:rFonts w:hint="eastAsia" w:ascii="宋体" w:hAnsi="宋体" w:eastAsia="宋体" w:cs="宋体"/>
          <w:color w:val="000000"/>
          <w:sz w:val="20"/>
          <w:szCs w:val="20"/>
        </w:rPr>
        <w:t>社会保障和就业支出（类）残疾人事业（款）</w:t>
      </w:r>
      <w:r>
        <w:rPr>
          <w:rFonts w:hint="eastAsia" w:ascii="宋体" w:hAnsi="宋体" w:eastAsia="宋体" w:cs="宋体"/>
          <w:color w:val="000000"/>
          <w:sz w:val="20"/>
          <w:szCs w:val="20"/>
          <w:lang w:eastAsia="zh-CN"/>
        </w:rPr>
        <w:t>行政运行</w:t>
      </w:r>
      <w:r>
        <w:rPr>
          <w:rFonts w:hint="eastAsia" w:ascii="宋体" w:hAnsi="宋体" w:eastAsia="宋体" w:cs="宋体"/>
          <w:color w:val="000000"/>
          <w:sz w:val="20"/>
          <w:szCs w:val="20"/>
        </w:rPr>
        <w:t>（项）事务支出</w:t>
      </w:r>
      <w:r>
        <w:rPr>
          <w:rFonts w:hint="eastAsia" w:ascii="宋体" w:hAnsi="宋体" w:eastAsia="宋体" w:cs="宋体"/>
          <w:color w:val="000000"/>
          <w:sz w:val="20"/>
          <w:szCs w:val="20"/>
          <w:lang w:val="en-US" w:eastAsia="zh-CN"/>
        </w:rPr>
        <w:t>381.56</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397.12万元</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15.56</w:t>
      </w:r>
      <w:r>
        <w:rPr>
          <w:rFonts w:hint="eastAsia" w:ascii="宋体" w:hAnsi="宋体" w:eastAsia="宋体" w:cs="宋体"/>
          <w:color w:val="000000"/>
          <w:sz w:val="20"/>
          <w:szCs w:val="20"/>
        </w:rPr>
        <w:t>万元，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3.92</w:t>
      </w:r>
      <w:r>
        <w:rPr>
          <w:rFonts w:hint="eastAsia" w:ascii="宋体" w:hAnsi="宋体" w:eastAsia="宋体" w:cs="宋体"/>
          <w:color w:val="000000"/>
          <w:sz w:val="20"/>
          <w:szCs w:val="20"/>
        </w:rPr>
        <w:t>%。主要是</w:t>
      </w:r>
      <w:r>
        <w:rPr>
          <w:rFonts w:hint="eastAsia" w:ascii="宋体" w:hAnsi="宋体" w:eastAsia="宋体" w:cs="宋体"/>
          <w:color w:val="000000"/>
          <w:sz w:val="20"/>
          <w:szCs w:val="20"/>
          <w:lang w:eastAsia="zh-CN"/>
        </w:rPr>
        <w:t>年度内</w:t>
      </w:r>
      <w:r>
        <w:rPr>
          <w:rFonts w:hint="eastAsia" w:ascii="宋体" w:hAnsi="宋体" w:eastAsia="宋体" w:cs="宋体"/>
          <w:color w:val="000000"/>
          <w:sz w:val="20"/>
          <w:szCs w:val="20"/>
        </w:rPr>
        <w:t>人员</w:t>
      </w:r>
      <w:r>
        <w:rPr>
          <w:rFonts w:hint="eastAsia" w:ascii="宋体" w:hAnsi="宋体" w:eastAsia="宋体" w:cs="宋体"/>
          <w:color w:val="000000"/>
          <w:sz w:val="20"/>
          <w:szCs w:val="20"/>
          <w:lang w:eastAsia="zh-CN"/>
        </w:rPr>
        <w:t>退休与辞职</w:t>
      </w:r>
      <w:r>
        <w:rPr>
          <w:rFonts w:hint="eastAsia" w:ascii="宋体" w:hAnsi="宋体" w:eastAsia="宋体" w:cs="宋体"/>
          <w:color w:val="000000"/>
          <w:sz w:val="20"/>
          <w:szCs w:val="20"/>
        </w:rPr>
        <w:t>。</w:t>
      </w:r>
    </w:p>
    <w:p>
      <w:p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4. </w:t>
      </w:r>
      <w:r>
        <w:rPr>
          <w:rFonts w:hint="eastAsia" w:ascii="宋体" w:hAnsi="宋体" w:eastAsia="宋体" w:cs="宋体"/>
          <w:color w:val="000000"/>
          <w:sz w:val="20"/>
          <w:szCs w:val="20"/>
        </w:rPr>
        <w:t>社会保障和就业支出（类）残疾人事业（款）一般行政管理事务（项）事务支出</w:t>
      </w:r>
      <w:r>
        <w:rPr>
          <w:rFonts w:hint="eastAsia" w:ascii="宋体" w:hAnsi="宋体" w:eastAsia="宋体" w:cs="宋体"/>
          <w:color w:val="000000"/>
          <w:sz w:val="20"/>
          <w:szCs w:val="20"/>
          <w:lang w:val="en-US" w:eastAsia="zh-CN"/>
        </w:rPr>
        <w:t>11.79</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12.84万元</w:t>
      </w:r>
      <w:r>
        <w:rPr>
          <w:rFonts w:hint="eastAsia" w:ascii="宋体" w:hAnsi="宋体" w:eastAsia="宋体" w:cs="宋体"/>
          <w:color w:val="000000"/>
          <w:sz w:val="20"/>
          <w:szCs w:val="20"/>
        </w:rPr>
        <w:t>减少</w:t>
      </w:r>
      <w:r>
        <w:rPr>
          <w:rFonts w:hint="eastAsia" w:ascii="宋体" w:hAnsi="宋体" w:eastAsia="宋体" w:cs="宋体"/>
          <w:color w:val="000000"/>
          <w:sz w:val="20"/>
          <w:szCs w:val="20"/>
          <w:lang w:val="en-US" w:eastAsia="zh-CN"/>
        </w:rPr>
        <w:t>1.05</w:t>
      </w:r>
      <w:r>
        <w:rPr>
          <w:rFonts w:hint="eastAsia" w:ascii="宋体" w:hAnsi="宋体" w:eastAsia="宋体" w:cs="宋体"/>
          <w:color w:val="000000"/>
          <w:sz w:val="20"/>
          <w:szCs w:val="20"/>
        </w:rPr>
        <w:t>万元，下降</w:t>
      </w:r>
      <w:r>
        <w:rPr>
          <w:rFonts w:hint="eastAsia" w:ascii="宋体" w:hAnsi="宋体" w:eastAsia="宋体" w:cs="宋体"/>
          <w:color w:val="000000"/>
          <w:sz w:val="20"/>
          <w:szCs w:val="20"/>
          <w:lang w:val="en-US" w:eastAsia="zh-CN"/>
        </w:rPr>
        <w:t>8.18</w:t>
      </w:r>
      <w:r>
        <w:rPr>
          <w:rFonts w:hint="eastAsia" w:ascii="宋体" w:hAnsi="宋体" w:eastAsia="宋体" w:cs="宋体"/>
          <w:color w:val="000000"/>
          <w:sz w:val="20"/>
          <w:szCs w:val="20"/>
        </w:rPr>
        <w:t>%。主要是专项支出中二类会议</w:t>
      </w:r>
      <w:r>
        <w:rPr>
          <w:rFonts w:hint="eastAsia" w:ascii="宋体" w:hAnsi="宋体" w:eastAsia="宋体" w:cs="宋体"/>
          <w:color w:val="000000"/>
          <w:sz w:val="20"/>
          <w:szCs w:val="20"/>
          <w:lang w:eastAsia="zh-CN"/>
        </w:rPr>
        <w:t>及</w:t>
      </w:r>
      <w:r>
        <w:rPr>
          <w:rFonts w:hint="eastAsia" w:ascii="宋体" w:hAnsi="宋体" w:eastAsia="宋体" w:cs="宋体"/>
          <w:color w:val="000000"/>
          <w:sz w:val="20"/>
          <w:szCs w:val="20"/>
        </w:rPr>
        <w:t>物业管理费</w:t>
      </w:r>
      <w:r>
        <w:rPr>
          <w:rFonts w:hint="eastAsia" w:ascii="宋体" w:hAnsi="宋体" w:eastAsia="宋体" w:cs="宋体"/>
          <w:color w:val="000000"/>
          <w:sz w:val="20"/>
          <w:szCs w:val="20"/>
          <w:lang w:eastAsia="zh-CN"/>
        </w:rPr>
        <w:t>费用节约</w:t>
      </w:r>
      <w:r>
        <w:rPr>
          <w:rFonts w:hint="eastAsia" w:ascii="宋体" w:hAnsi="宋体" w:eastAsia="宋体" w:cs="宋体"/>
          <w:color w:val="000000"/>
          <w:sz w:val="20"/>
          <w:szCs w:val="20"/>
        </w:rPr>
        <w:t>。</w:t>
      </w:r>
    </w:p>
    <w:p>
      <w:p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5. </w:t>
      </w:r>
      <w:r>
        <w:rPr>
          <w:rFonts w:hint="eastAsia" w:ascii="宋体" w:hAnsi="宋体" w:eastAsia="宋体" w:cs="宋体"/>
          <w:color w:val="000000"/>
          <w:sz w:val="20"/>
          <w:szCs w:val="20"/>
        </w:rPr>
        <w:t>社会保障和就业支出（类）残疾人事业（款）残疾人康复（项）事务支出</w:t>
      </w:r>
      <w:r>
        <w:rPr>
          <w:rFonts w:hint="eastAsia" w:ascii="宋体" w:hAnsi="宋体" w:eastAsia="宋体" w:cs="宋体"/>
          <w:color w:val="000000"/>
          <w:sz w:val="20"/>
          <w:szCs w:val="20"/>
          <w:lang w:val="en-US" w:eastAsia="zh-CN"/>
        </w:rPr>
        <w:t>24.30</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30万元</w:t>
      </w:r>
      <w:r>
        <w:rPr>
          <w:rFonts w:hint="eastAsia" w:ascii="宋体" w:hAnsi="宋体" w:eastAsia="宋体" w:cs="宋体"/>
          <w:color w:val="000000"/>
          <w:sz w:val="20"/>
          <w:szCs w:val="20"/>
        </w:rPr>
        <w:t>减少</w:t>
      </w:r>
      <w:r>
        <w:rPr>
          <w:rFonts w:hint="eastAsia" w:ascii="宋体" w:hAnsi="宋体" w:eastAsia="宋体" w:cs="宋体"/>
          <w:color w:val="000000"/>
          <w:sz w:val="20"/>
          <w:szCs w:val="20"/>
          <w:lang w:val="en-US" w:eastAsia="zh-CN"/>
        </w:rPr>
        <w:t>5.70</w:t>
      </w:r>
      <w:r>
        <w:rPr>
          <w:rFonts w:hint="eastAsia" w:ascii="宋体" w:hAnsi="宋体" w:eastAsia="宋体" w:cs="宋体"/>
          <w:color w:val="000000"/>
          <w:sz w:val="20"/>
          <w:szCs w:val="20"/>
        </w:rPr>
        <w:t>万元，下降</w:t>
      </w:r>
      <w:r>
        <w:rPr>
          <w:rFonts w:hint="eastAsia" w:ascii="宋体" w:hAnsi="宋体" w:eastAsia="宋体" w:cs="宋体"/>
          <w:color w:val="000000"/>
          <w:sz w:val="20"/>
          <w:szCs w:val="20"/>
          <w:lang w:val="en-US" w:eastAsia="zh-CN"/>
        </w:rPr>
        <w:t>19</w:t>
      </w:r>
      <w:r>
        <w:rPr>
          <w:rFonts w:hint="eastAsia" w:ascii="宋体" w:hAnsi="宋体" w:eastAsia="宋体" w:cs="宋体"/>
          <w:color w:val="000000"/>
          <w:sz w:val="20"/>
          <w:szCs w:val="20"/>
        </w:rPr>
        <w:t>%。主要是</w:t>
      </w:r>
      <w:r>
        <w:rPr>
          <w:rFonts w:hint="eastAsia" w:ascii="宋体" w:hAnsi="宋体" w:eastAsia="宋体" w:cs="宋体"/>
          <w:color w:val="000000"/>
          <w:sz w:val="20"/>
          <w:szCs w:val="20"/>
          <w:lang w:eastAsia="zh-CN"/>
        </w:rPr>
        <w:t>年度安排康复工作专项会议无法召开</w:t>
      </w:r>
      <w:r>
        <w:rPr>
          <w:rFonts w:hint="eastAsia" w:ascii="宋体" w:hAnsi="宋体" w:eastAsia="宋体" w:cs="宋体"/>
          <w:color w:val="000000"/>
          <w:sz w:val="20"/>
          <w:szCs w:val="20"/>
        </w:rPr>
        <w:t>。</w:t>
      </w:r>
    </w:p>
    <w:p>
      <w:pPr>
        <w:autoSpaceDE w:val="0"/>
        <w:autoSpaceDN w:val="0"/>
        <w:adjustRightInd w:val="0"/>
        <w:spacing w:line="360" w:lineRule="auto"/>
        <w:ind w:firstLine="400" w:firstLineChars="20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r>
        <w:rPr>
          <w:rFonts w:hint="eastAsia" w:ascii="宋体" w:hAnsi="宋体" w:eastAsia="宋体" w:cs="宋体"/>
          <w:color w:val="000000"/>
          <w:sz w:val="20"/>
          <w:szCs w:val="20"/>
        </w:rPr>
        <w:t>．社会保障和就业支出（类）残疾人事业（款）其他残疾人事业支出（项）事务支出2</w:t>
      </w:r>
      <w:r>
        <w:rPr>
          <w:rFonts w:hint="eastAsia" w:ascii="宋体" w:hAnsi="宋体" w:eastAsia="宋体" w:cs="宋体"/>
          <w:color w:val="000000"/>
          <w:sz w:val="20"/>
          <w:szCs w:val="20"/>
          <w:lang w:val="en-US" w:eastAsia="zh-CN"/>
        </w:rPr>
        <w:t>143.03</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4221.12万元</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2078.09万</w:t>
      </w:r>
      <w:r>
        <w:rPr>
          <w:rFonts w:hint="eastAsia" w:ascii="宋体" w:hAnsi="宋体" w:eastAsia="宋体" w:cs="宋体"/>
          <w:color w:val="000000"/>
          <w:sz w:val="20"/>
          <w:szCs w:val="20"/>
        </w:rPr>
        <w:t>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49.23</w:t>
      </w:r>
      <w:r>
        <w:rPr>
          <w:rFonts w:hint="eastAsia" w:ascii="宋体" w:hAnsi="宋体" w:eastAsia="宋体" w:cs="宋体"/>
          <w:color w:val="000000"/>
          <w:sz w:val="20"/>
          <w:szCs w:val="20"/>
        </w:rPr>
        <w:t>%。主要是残疾人康复中心工程项目施工</w:t>
      </w:r>
      <w:r>
        <w:rPr>
          <w:rFonts w:hint="eastAsia" w:ascii="宋体" w:hAnsi="宋体" w:eastAsia="宋体" w:cs="宋体"/>
          <w:color w:val="000000"/>
          <w:sz w:val="20"/>
          <w:szCs w:val="20"/>
          <w:lang w:eastAsia="zh-CN"/>
        </w:rPr>
        <w:t>因龙湾区龙水镇配套基础设施不全、工程项目设计用途性质变更等，导致本年主体工程无法联合验收，施工进度无法进入下一阶段</w:t>
      </w:r>
      <w:r>
        <w:rPr>
          <w:rFonts w:hint="eastAsia" w:ascii="宋体" w:hAnsi="宋体" w:eastAsia="宋体" w:cs="宋体"/>
          <w:color w:val="000000"/>
          <w:sz w:val="20"/>
          <w:szCs w:val="20"/>
        </w:rPr>
        <w:t>。</w:t>
      </w:r>
    </w:p>
    <w:p>
      <w:p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w:t>
      </w:r>
      <w:r>
        <w:rPr>
          <w:rFonts w:hint="eastAsia" w:ascii="宋体" w:hAnsi="宋体" w:eastAsia="宋体" w:cs="宋体"/>
          <w:color w:val="000000"/>
          <w:sz w:val="20"/>
          <w:szCs w:val="20"/>
        </w:rPr>
        <w:t>．医疗卫生与计划生育支出（类）医疗保障（款）行政单位医疗（项）事务支出14.</w:t>
      </w:r>
      <w:r>
        <w:rPr>
          <w:rFonts w:hint="eastAsia" w:ascii="宋体" w:hAnsi="宋体" w:eastAsia="宋体" w:cs="宋体"/>
          <w:color w:val="000000"/>
          <w:sz w:val="20"/>
          <w:szCs w:val="20"/>
          <w:lang w:val="en-US" w:eastAsia="zh-CN"/>
        </w:rPr>
        <w:t>37</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14.37万元</w:t>
      </w:r>
      <w:r>
        <w:rPr>
          <w:rFonts w:hint="eastAsia" w:ascii="宋体" w:hAnsi="宋体" w:eastAsia="宋体" w:cs="宋体"/>
          <w:color w:val="000000"/>
          <w:sz w:val="20"/>
          <w:szCs w:val="20"/>
        </w:rPr>
        <w:t>增加</w:t>
      </w:r>
      <w:r>
        <w:rPr>
          <w:rFonts w:hint="eastAsia" w:ascii="宋体" w:hAnsi="宋体" w:eastAsia="宋体" w:cs="宋体"/>
          <w:color w:val="000000"/>
          <w:sz w:val="20"/>
          <w:szCs w:val="20"/>
          <w:lang w:val="en-US" w:eastAsia="zh-CN"/>
        </w:rPr>
        <w:t>0.00万</w:t>
      </w:r>
      <w:r>
        <w:rPr>
          <w:rFonts w:hint="eastAsia" w:ascii="宋体" w:hAnsi="宋体" w:eastAsia="宋体" w:cs="宋体"/>
          <w:color w:val="000000"/>
          <w:sz w:val="20"/>
          <w:szCs w:val="20"/>
        </w:rPr>
        <w:t>元，增长</w:t>
      </w:r>
      <w:r>
        <w:rPr>
          <w:rFonts w:hint="eastAsia" w:ascii="宋体" w:hAnsi="宋体" w:eastAsia="宋体" w:cs="宋体"/>
          <w:color w:val="000000"/>
          <w:sz w:val="20"/>
          <w:szCs w:val="20"/>
          <w:lang w:val="en-US" w:eastAsia="zh-CN"/>
        </w:rPr>
        <w:t>0.00</w:t>
      </w:r>
      <w:r>
        <w:rPr>
          <w:rFonts w:hint="eastAsia" w:ascii="宋体" w:hAnsi="宋体" w:eastAsia="宋体" w:cs="宋体"/>
          <w:color w:val="000000"/>
          <w:sz w:val="20"/>
          <w:szCs w:val="20"/>
        </w:rPr>
        <w:t>%。</w:t>
      </w:r>
      <w:r>
        <w:rPr>
          <w:rFonts w:hint="eastAsia" w:ascii="宋体" w:hAnsi="宋体" w:eastAsia="宋体" w:cs="宋体"/>
          <w:color w:val="000000"/>
          <w:sz w:val="20"/>
          <w:szCs w:val="20"/>
          <w:lang w:eastAsia="zh-CN"/>
        </w:rPr>
        <w:t>本年预决算资金相等</w:t>
      </w:r>
      <w:r>
        <w:rPr>
          <w:rFonts w:hint="eastAsia" w:ascii="宋体" w:hAnsi="宋体" w:eastAsia="宋体" w:cs="宋体"/>
          <w:color w:val="000000"/>
          <w:sz w:val="20"/>
          <w:szCs w:val="20"/>
        </w:rPr>
        <w:t>。</w:t>
      </w:r>
    </w:p>
    <w:p>
      <w:p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w:t>
      </w:r>
      <w:r>
        <w:rPr>
          <w:rFonts w:hint="eastAsia" w:ascii="宋体" w:hAnsi="宋体" w:eastAsia="宋体" w:cs="宋体"/>
          <w:color w:val="000000"/>
          <w:sz w:val="20"/>
          <w:szCs w:val="20"/>
        </w:rPr>
        <w:t>．医疗卫生与计划生育支出（类）医疗保障（款）事业单位医疗（项）事务支出</w:t>
      </w:r>
      <w:r>
        <w:rPr>
          <w:rFonts w:hint="eastAsia" w:ascii="宋体" w:hAnsi="宋体" w:eastAsia="宋体" w:cs="宋体"/>
          <w:color w:val="000000"/>
          <w:sz w:val="20"/>
          <w:szCs w:val="20"/>
          <w:lang w:val="en-US" w:eastAsia="zh-CN"/>
        </w:rPr>
        <w:t>25.70</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25.70万元</w:t>
      </w:r>
      <w:r>
        <w:rPr>
          <w:rFonts w:hint="eastAsia" w:ascii="宋体" w:hAnsi="宋体" w:eastAsia="宋体" w:cs="宋体"/>
          <w:color w:val="000000"/>
          <w:sz w:val="20"/>
          <w:szCs w:val="20"/>
        </w:rPr>
        <w:t>增加</w:t>
      </w:r>
      <w:r>
        <w:rPr>
          <w:rFonts w:hint="eastAsia" w:ascii="宋体" w:hAnsi="宋体" w:eastAsia="宋体" w:cs="宋体"/>
          <w:color w:val="000000"/>
          <w:sz w:val="20"/>
          <w:szCs w:val="20"/>
          <w:lang w:val="en-US" w:eastAsia="zh-CN"/>
        </w:rPr>
        <w:t>0.00万</w:t>
      </w:r>
      <w:r>
        <w:rPr>
          <w:rFonts w:hint="eastAsia" w:ascii="宋体" w:hAnsi="宋体" w:eastAsia="宋体" w:cs="宋体"/>
          <w:color w:val="000000"/>
          <w:sz w:val="20"/>
          <w:szCs w:val="20"/>
        </w:rPr>
        <w:t>元，增长</w:t>
      </w:r>
      <w:r>
        <w:rPr>
          <w:rFonts w:hint="eastAsia" w:ascii="宋体" w:hAnsi="宋体" w:eastAsia="宋体" w:cs="宋体"/>
          <w:color w:val="000000"/>
          <w:sz w:val="20"/>
          <w:szCs w:val="20"/>
          <w:lang w:val="en-US" w:eastAsia="zh-CN"/>
        </w:rPr>
        <w:t>0.00</w:t>
      </w:r>
      <w:r>
        <w:rPr>
          <w:rFonts w:hint="eastAsia" w:ascii="宋体" w:hAnsi="宋体" w:eastAsia="宋体" w:cs="宋体"/>
          <w:color w:val="000000"/>
          <w:sz w:val="20"/>
          <w:szCs w:val="20"/>
        </w:rPr>
        <w:t>%。</w:t>
      </w:r>
      <w:r>
        <w:rPr>
          <w:rFonts w:hint="eastAsia" w:ascii="宋体" w:hAnsi="宋体" w:eastAsia="宋体" w:cs="宋体"/>
          <w:color w:val="000000"/>
          <w:sz w:val="20"/>
          <w:szCs w:val="20"/>
          <w:lang w:eastAsia="zh-CN"/>
        </w:rPr>
        <w:t>本年预决算资金相等</w:t>
      </w:r>
      <w:r>
        <w:rPr>
          <w:rFonts w:hint="eastAsia" w:ascii="宋体" w:hAnsi="宋体" w:eastAsia="宋体" w:cs="宋体"/>
          <w:color w:val="000000"/>
          <w:sz w:val="20"/>
          <w:szCs w:val="20"/>
        </w:rPr>
        <w:t>。</w:t>
      </w:r>
    </w:p>
    <w:p>
      <w:pPr>
        <w:numPr>
          <w:ilvl w:val="0"/>
          <w:numId w:val="0"/>
        </w:num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w:t>
      </w:r>
      <w:r>
        <w:rPr>
          <w:rFonts w:hint="eastAsia" w:ascii="宋体" w:hAnsi="宋体" w:eastAsia="宋体" w:cs="宋体"/>
          <w:color w:val="000000"/>
          <w:sz w:val="20"/>
          <w:szCs w:val="20"/>
        </w:rPr>
        <w:t>．住房保障支出（类）住房改革支出（款）住房公积金（项）事务支出</w:t>
      </w:r>
      <w:r>
        <w:rPr>
          <w:rFonts w:hint="eastAsia" w:ascii="宋体" w:hAnsi="宋体" w:eastAsia="宋体" w:cs="宋体"/>
          <w:color w:val="000000"/>
          <w:sz w:val="20"/>
          <w:szCs w:val="20"/>
          <w:lang w:val="en-US" w:eastAsia="zh-CN"/>
        </w:rPr>
        <w:t>67.08</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74.28万元</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7.20万</w:t>
      </w:r>
      <w:r>
        <w:rPr>
          <w:rFonts w:hint="eastAsia" w:ascii="宋体" w:hAnsi="宋体" w:eastAsia="宋体" w:cs="宋体"/>
          <w:color w:val="000000"/>
          <w:sz w:val="20"/>
          <w:szCs w:val="20"/>
        </w:rPr>
        <w:t>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9.69</w:t>
      </w:r>
      <w:r>
        <w:rPr>
          <w:rFonts w:hint="eastAsia" w:ascii="宋体" w:hAnsi="宋体" w:eastAsia="宋体" w:cs="宋体"/>
          <w:color w:val="000000"/>
          <w:sz w:val="20"/>
          <w:szCs w:val="20"/>
        </w:rPr>
        <w:t>%。主要是</w:t>
      </w:r>
      <w:r>
        <w:rPr>
          <w:rFonts w:hint="eastAsia" w:ascii="宋体" w:hAnsi="宋体" w:eastAsia="宋体" w:cs="宋体"/>
          <w:color w:val="000000"/>
          <w:sz w:val="20"/>
          <w:szCs w:val="20"/>
          <w:lang w:eastAsia="zh-CN"/>
        </w:rPr>
        <w:t>年度内</w:t>
      </w:r>
      <w:r>
        <w:rPr>
          <w:rFonts w:hint="eastAsia" w:ascii="宋体" w:hAnsi="宋体" w:eastAsia="宋体" w:cs="宋体"/>
          <w:color w:val="000000"/>
          <w:sz w:val="20"/>
          <w:szCs w:val="20"/>
        </w:rPr>
        <w:t>人员</w:t>
      </w:r>
      <w:r>
        <w:rPr>
          <w:rFonts w:hint="eastAsia" w:ascii="宋体" w:hAnsi="宋体" w:eastAsia="宋体" w:cs="宋体"/>
          <w:color w:val="000000"/>
          <w:sz w:val="20"/>
          <w:szCs w:val="20"/>
          <w:lang w:eastAsia="zh-CN"/>
        </w:rPr>
        <w:t>退休与辞职，未补充人员</w:t>
      </w:r>
      <w:r>
        <w:rPr>
          <w:rFonts w:hint="eastAsia" w:ascii="宋体" w:hAnsi="宋体" w:eastAsia="宋体" w:cs="宋体"/>
          <w:color w:val="000000"/>
          <w:sz w:val="20"/>
          <w:szCs w:val="20"/>
        </w:rPr>
        <w:t>。</w:t>
      </w:r>
    </w:p>
    <w:p>
      <w:p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eastAsia="zh-CN"/>
        </w:rPr>
        <w:t>0</w:t>
      </w:r>
      <w:r>
        <w:rPr>
          <w:rFonts w:hint="eastAsia" w:ascii="宋体" w:hAnsi="宋体" w:eastAsia="宋体" w:cs="宋体"/>
          <w:color w:val="000000"/>
          <w:sz w:val="20"/>
          <w:szCs w:val="20"/>
        </w:rPr>
        <w:t>．住房保障支出（类）住房改革支出（款）购房补贴（项）事务支出</w:t>
      </w:r>
      <w:r>
        <w:rPr>
          <w:rFonts w:hint="eastAsia" w:ascii="宋体" w:hAnsi="宋体" w:eastAsia="宋体" w:cs="宋体"/>
          <w:color w:val="000000"/>
          <w:sz w:val="20"/>
          <w:szCs w:val="20"/>
          <w:lang w:val="en-US" w:eastAsia="zh-CN"/>
        </w:rPr>
        <w:t>21.57</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22.08万元</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0.51万</w:t>
      </w:r>
      <w:r>
        <w:rPr>
          <w:rFonts w:hint="eastAsia" w:ascii="宋体" w:hAnsi="宋体" w:eastAsia="宋体" w:cs="宋体"/>
          <w:color w:val="000000"/>
          <w:sz w:val="20"/>
          <w:szCs w:val="20"/>
        </w:rPr>
        <w:t>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2.31</w:t>
      </w:r>
      <w:r>
        <w:rPr>
          <w:rFonts w:hint="eastAsia" w:ascii="宋体" w:hAnsi="宋体" w:eastAsia="宋体" w:cs="宋体"/>
          <w:color w:val="000000"/>
          <w:sz w:val="20"/>
          <w:szCs w:val="20"/>
        </w:rPr>
        <w:t>%。</w:t>
      </w:r>
      <w:r>
        <w:rPr>
          <w:rFonts w:hint="eastAsia" w:ascii="宋体" w:hAnsi="宋体" w:eastAsia="宋体" w:cs="宋体"/>
          <w:color w:val="000000"/>
          <w:sz w:val="20"/>
          <w:szCs w:val="20"/>
          <w:lang w:eastAsia="zh-CN"/>
        </w:rPr>
        <w:t>相差不大，含年度内</w:t>
      </w:r>
      <w:r>
        <w:rPr>
          <w:rFonts w:hint="eastAsia" w:ascii="宋体" w:hAnsi="宋体" w:eastAsia="宋体" w:cs="宋体"/>
          <w:color w:val="000000"/>
          <w:sz w:val="20"/>
          <w:szCs w:val="20"/>
        </w:rPr>
        <w:t>人员</w:t>
      </w:r>
      <w:r>
        <w:rPr>
          <w:rFonts w:hint="eastAsia" w:ascii="宋体" w:hAnsi="宋体" w:eastAsia="宋体" w:cs="宋体"/>
          <w:color w:val="000000"/>
          <w:sz w:val="20"/>
          <w:szCs w:val="20"/>
          <w:lang w:eastAsia="zh-CN"/>
        </w:rPr>
        <w:t>退休与辞职影响，为正常预算结余</w:t>
      </w:r>
      <w:r>
        <w:rPr>
          <w:rFonts w:hint="eastAsia" w:ascii="宋体" w:hAnsi="宋体" w:eastAsia="宋体" w:cs="宋体"/>
          <w:color w:val="000000"/>
          <w:sz w:val="20"/>
          <w:szCs w:val="20"/>
        </w:rPr>
        <w:t>。</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（六）一般公共预算财政拨款基本支出情况</w:t>
      </w:r>
    </w:p>
    <w:p>
      <w:pPr>
        <w:autoSpaceDE w:val="0"/>
        <w:autoSpaceDN w:val="0"/>
        <w:adjustRightInd w:val="0"/>
        <w:spacing w:line="360" w:lineRule="auto"/>
        <w:ind w:firstLine="480"/>
        <w:rPr>
          <w:rFonts w:hint="eastAsia" w:ascii="宋体" w:hAnsi="宋体" w:eastAsia="宋体" w:cs="宋体"/>
          <w:color w:val="000000"/>
          <w:sz w:val="20"/>
          <w:szCs w:val="20"/>
        </w:rPr>
      </w:pPr>
      <w:r>
        <w:rPr>
          <w:rFonts w:hint="eastAsia" w:ascii="宋体" w:hAnsi="宋体" w:eastAsia="宋体" w:cs="宋体"/>
          <w:color w:val="000000"/>
          <w:sz w:val="20"/>
          <w:szCs w:val="20"/>
        </w:rPr>
        <w:t>2017年度度一般公共预算财政拨款基本支出</w:t>
      </w:r>
      <w:r>
        <w:rPr>
          <w:rFonts w:hint="eastAsia" w:ascii="宋体" w:hAnsi="宋体" w:eastAsia="宋体" w:cs="宋体"/>
          <w:color w:val="000000"/>
          <w:sz w:val="20"/>
          <w:szCs w:val="20"/>
          <w:lang w:val="en-US" w:eastAsia="zh-CN"/>
        </w:rPr>
        <w:t>1128.31</w:t>
      </w:r>
      <w:r>
        <w:rPr>
          <w:rFonts w:hint="eastAsia" w:ascii="宋体" w:hAnsi="宋体" w:eastAsia="宋体" w:cs="宋体"/>
          <w:color w:val="000000"/>
          <w:sz w:val="20"/>
          <w:szCs w:val="20"/>
        </w:rPr>
        <w:t>万元。其中：人员经费</w:t>
      </w:r>
      <w:r>
        <w:rPr>
          <w:rFonts w:hint="eastAsia" w:ascii="宋体" w:hAnsi="宋体" w:eastAsia="宋体" w:cs="宋体"/>
          <w:color w:val="000000"/>
          <w:sz w:val="20"/>
          <w:szCs w:val="20"/>
          <w:lang w:val="en-US" w:eastAsia="zh-CN"/>
        </w:rPr>
        <w:t>991.59</w:t>
      </w:r>
      <w:r>
        <w:rPr>
          <w:rFonts w:hint="eastAsia" w:ascii="宋体" w:hAnsi="宋体" w:eastAsia="宋体" w:cs="宋体"/>
          <w:color w:val="000000"/>
          <w:sz w:val="20"/>
          <w:szCs w:val="20"/>
        </w:rPr>
        <w:t>万元，包括行政机关及事业单位人员工资绩效社保奖金等支出；公用经费</w:t>
      </w:r>
      <w:r>
        <w:rPr>
          <w:rFonts w:hint="eastAsia" w:ascii="宋体" w:hAnsi="宋体" w:eastAsia="宋体" w:cs="宋体"/>
          <w:color w:val="000000"/>
          <w:sz w:val="20"/>
          <w:szCs w:val="20"/>
          <w:lang w:val="en-US" w:eastAsia="zh-CN"/>
        </w:rPr>
        <w:t>136.72</w:t>
      </w:r>
      <w:r>
        <w:rPr>
          <w:rFonts w:hint="eastAsia" w:ascii="宋体" w:hAnsi="宋体" w:eastAsia="宋体" w:cs="宋体"/>
          <w:color w:val="000000"/>
          <w:sz w:val="20"/>
          <w:szCs w:val="20"/>
        </w:rPr>
        <w:t>万元，主要是用于单位日常运作购买商品和服务所需要的各项费用，包括办公费、水电费、差旅费、邮电费</w:t>
      </w:r>
      <w:bookmarkStart w:id="0" w:name="_GoBack"/>
      <w:bookmarkEnd w:id="0"/>
      <w:r>
        <w:rPr>
          <w:rFonts w:hint="eastAsia" w:ascii="宋体" w:hAnsi="宋体" w:eastAsia="宋体" w:cs="宋体"/>
          <w:color w:val="000000"/>
          <w:sz w:val="20"/>
          <w:szCs w:val="20"/>
        </w:rPr>
        <w:t>、劳务费等。</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（七）政府性基金预算财政拨款收入支出情况</w:t>
      </w:r>
    </w:p>
    <w:p>
      <w:pPr>
        <w:autoSpaceDE w:val="0"/>
        <w:autoSpaceDN w:val="0"/>
        <w:adjustRightInd w:val="0"/>
        <w:spacing w:line="360" w:lineRule="auto"/>
        <w:ind w:firstLine="400" w:firstLineChars="200"/>
        <w:jc w:val="left"/>
        <w:rPr>
          <w:rFonts w:hint="eastAsia" w:ascii="宋体" w:hAnsi="宋体" w:eastAsia="宋体" w:cs="宋体"/>
          <w:color w:val="000000"/>
          <w:sz w:val="20"/>
          <w:szCs w:val="20"/>
        </w:rPr>
      </w:pPr>
      <w:r>
        <w:rPr>
          <w:rFonts w:hint="eastAsia" w:ascii="宋体" w:hAnsi="宋体" w:eastAsia="宋体" w:cs="宋体"/>
          <w:color w:val="000000"/>
          <w:sz w:val="20"/>
          <w:szCs w:val="20"/>
        </w:rPr>
        <w:t>2016年度政府性基金预算年初结转</w:t>
      </w:r>
      <w:r>
        <w:rPr>
          <w:rFonts w:hint="eastAsia" w:ascii="宋体" w:hAnsi="宋体" w:eastAsia="宋体" w:cs="宋体"/>
          <w:color w:val="000000"/>
          <w:sz w:val="20"/>
          <w:szCs w:val="20"/>
          <w:lang w:val="en-US" w:eastAsia="zh-CN"/>
        </w:rPr>
        <w:t>0.00</w:t>
      </w:r>
      <w:r>
        <w:rPr>
          <w:rFonts w:hint="eastAsia" w:ascii="宋体" w:hAnsi="宋体" w:eastAsia="宋体" w:cs="宋体"/>
          <w:color w:val="000000"/>
          <w:sz w:val="20"/>
          <w:szCs w:val="20"/>
        </w:rPr>
        <w:t>万元，本年收入</w:t>
      </w:r>
      <w:r>
        <w:rPr>
          <w:rFonts w:hint="eastAsia" w:ascii="宋体" w:hAnsi="宋体" w:eastAsia="宋体" w:cs="宋体"/>
          <w:color w:val="000000"/>
          <w:sz w:val="20"/>
          <w:szCs w:val="20"/>
          <w:lang w:val="en-US" w:eastAsia="zh-CN"/>
        </w:rPr>
        <w:t>129.89</w:t>
      </w:r>
      <w:r>
        <w:rPr>
          <w:rFonts w:hint="eastAsia" w:ascii="宋体" w:hAnsi="宋体" w:eastAsia="宋体" w:cs="宋体"/>
          <w:color w:val="000000"/>
          <w:sz w:val="20"/>
          <w:szCs w:val="20"/>
        </w:rPr>
        <w:t>万元，本年支出</w:t>
      </w:r>
      <w:r>
        <w:rPr>
          <w:rFonts w:hint="eastAsia" w:ascii="宋体" w:hAnsi="宋体" w:eastAsia="宋体" w:cs="宋体"/>
          <w:color w:val="000000"/>
          <w:sz w:val="20"/>
          <w:szCs w:val="20"/>
          <w:lang w:val="en-US" w:eastAsia="zh-CN"/>
        </w:rPr>
        <w:t>129.89</w:t>
      </w:r>
      <w:r>
        <w:rPr>
          <w:rFonts w:hint="eastAsia" w:ascii="宋体" w:hAnsi="宋体" w:eastAsia="宋体" w:cs="宋体"/>
          <w:color w:val="000000"/>
          <w:sz w:val="20"/>
          <w:szCs w:val="20"/>
        </w:rPr>
        <w:t>万元，年末结转</w:t>
      </w:r>
      <w:r>
        <w:rPr>
          <w:rFonts w:hint="eastAsia" w:ascii="宋体" w:hAnsi="宋体" w:eastAsia="宋体" w:cs="宋体"/>
          <w:color w:val="000000"/>
          <w:sz w:val="20"/>
          <w:szCs w:val="20"/>
          <w:lang w:val="en-US" w:eastAsia="zh-CN"/>
        </w:rPr>
        <w:t>0.00</w:t>
      </w:r>
      <w:r>
        <w:rPr>
          <w:rFonts w:hint="eastAsia" w:ascii="宋体" w:hAnsi="宋体" w:eastAsia="宋体" w:cs="宋体"/>
          <w:color w:val="000000"/>
          <w:sz w:val="20"/>
          <w:szCs w:val="20"/>
        </w:rPr>
        <w:t>万元。支出具体情况如下：</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1．其他支出（类）其他政府性基金及对应专项债务收入安排的支出(基金</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（款）其他政府性基金支出(基金)（项）事务支出</w:t>
      </w:r>
      <w:r>
        <w:rPr>
          <w:rFonts w:hint="eastAsia" w:ascii="宋体" w:hAnsi="宋体" w:eastAsia="宋体" w:cs="宋体"/>
          <w:color w:val="000000"/>
          <w:sz w:val="20"/>
          <w:szCs w:val="20"/>
          <w:lang w:val="en-US" w:eastAsia="zh-CN"/>
        </w:rPr>
        <w:t>124.89</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136.09万元</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11.2万</w:t>
      </w:r>
      <w:r>
        <w:rPr>
          <w:rFonts w:hint="eastAsia" w:ascii="宋体" w:hAnsi="宋体" w:eastAsia="宋体" w:cs="宋体"/>
          <w:color w:val="000000"/>
          <w:sz w:val="20"/>
          <w:szCs w:val="20"/>
        </w:rPr>
        <w:t>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8.23</w:t>
      </w:r>
      <w:r>
        <w:rPr>
          <w:rFonts w:hint="eastAsia" w:ascii="宋体" w:hAnsi="宋体" w:eastAsia="宋体" w:cs="宋体"/>
          <w:color w:val="000000"/>
          <w:sz w:val="20"/>
          <w:szCs w:val="20"/>
        </w:rPr>
        <w:t>%。主要是康复中心</w:t>
      </w:r>
      <w:r>
        <w:rPr>
          <w:rFonts w:hint="eastAsia" w:ascii="宋体" w:hAnsi="宋体" w:eastAsia="宋体" w:cs="宋体"/>
          <w:color w:val="000000"/>
          <w:sz w:val="20"/>
          <w:szCs w:val="20"/>
          <w:lang w:eastAsia="zh-CN"/>
        </w:rPr>
        <w:t>聋儿伙食费及租赁费因在训</w:t>
      </w:r>
      <w:r>
        <w:rPr>
          <w:rFonts w:hint="eastAsia" w:ascii="宋体" w:hAnsi="宋体" w:eastAsia="宋体" w:cs="宋体"/>
          <w:color w:val="000000"/>
          <w:sz w:val="20"/>
          <w:szCs w:val="20"/>
          <w:lang w:val="en-US" w:eastAsia="zh-CN"/>
        </w:rPr>
        <w:t>聋儿人数减少及房屋租赁费市场价节约</w:t>
      </w:r>
      <w:r>
        <w:rPr>
          <w:rFonts w:hint="eastAsia" w:ascii="宋体" w:hAnsi="宋体" w:eastAsia="宋体" w:cs="宋体"/>
          <w:color w:val="000000"/>
          <w:sz w:val="20"/>
          <w:szCs w:val="20"/>
          <w:lang w:eastAsia="zh-CN"/>
        </w:rPr>
        <w:t>合计结余</w:t>
      </w:r>
      <w:r>
        <w:rPr>
          <w:rFonts w:hint="eastAsia" w:ascii="宋体" w:hAnsi="宋体" w:eastAsia="宋体" w:cs="宋体"/>
          <w:color w:val="000000"/>
          <w:sz w:val="20"/>
          <w:szCs w:val="20"/>
          <w:lang w:val="en-US" w:eastAsia="zh-CN"/>
        </w:rPr>
        <w:t>9.00万元，市残联人员经费年度统筹支出正常结余2.20万元</w:t>
      </w:r>
      <w:r>
        <w:rPr>
          <w:rFonts w:hint="eastAsia" w:ascii="宋体" w:hAnsi="宋体" w:eastAsia="宋体" w:cs="宋体"/>
          <w:color w:val="000000"/>
          <w:sz w:val="20"/>
          <w:szCs w:val="20"/>
        </w:rPr>
        <w:t>。</w:t>
      </w:r>
    </w:p>
    <w:p>
      <w:pPr>
        <w:autoSpaceDE w:val="0"/>
        <w:autoSpaceDN w:val="0"/>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2．其他支出（类）彩票公益金及对应专项债务收入安排的支出(基金)（款）用于残疾人事业的彩票公益金支出(基金)（项）事务支出</w:t>
      </w:r>
      <w:r>
        <w:rPr>
          <w:rFonts w:hint="eastAsia" w:ascii="宋体" w:hAnsi="宋体" w:eastAsia="宋体" w:cs="宋体"/>
          <w:color w:val="000000"/>
          <w:sz w:val="20"/>
          <w:szCs w:val="20"/>
          <w:lang w:val="en-US" w:eastAsia="zh-CN"/>
        </w:rPr>
        <w:t>5.00</w:t>
      </w:r>
      <w:r>
        <w:rPr>
          <w:rFonts w:hint="eastAsia" w:ascii="宋体" w:hAnsi="宋体" w:eastAsia="宋体" w:cs="宋体"/>
          <w:color w:val="000000"/>
          <w:sz w:val="20"/>
          <w:szCs w:val="20"/>
        </w:rPr>
        <w:t>万元，比年初预算</w:t>
      </w:r>
      <w:r>
        <w:rPr>
          <w:rFonts w:hint="eastAsia" w:ascii="宋体" w:hAnsi="宋体" w:eastAsia="宋体" w:cs="宋体"/>
          <w:color w:val="000000"/>
          <w:sz w:val="20"/>
          <w:szCs w:val="20"/>
          <w:lang w:val="en-US" w:eastAsia="zh-CN"/>
        </w:rPr>
        <w:t>105.00万元</w:t>
      </w:r>
      <w:r>
        <w:rPr>
          <w:rFonts w:hint="eastAsia" w:ascii="宋体" w:hAnsi="宋体" w:eastAsia="宋体" w:cs="宋体"/>
          <w:color w:val="000000"/>
          <w:sz w:val="20"/>
          <w:szCs w:val="20"/>
          <w:lang w:eastAsia="zh-CN"/>
        </w:rPr>
        <w:t>减少</w:t>
      </w:r>
      <w:r>
        <w:rPr>
          <w:rFonts w:hint="eastAsia" w:ascii="宋体" w:hAnsi="宋体" w:eastAsia="宋体" w:cs="宋体"/>
          <w:color w:val="000000"/>
          <w:sz w:val="20"/>
          <w:szCs w:val="20"/>
          <w:lang w:val="en-US" w:eastAsia="zh-CN"/>
        </w:rPr>
        <w:t>100.00万</w:t>
      </w:r>
      <w:r>
        <w:rPr>
          <w:rFonts w:hint="eastAsia" w:ascii="宋体" w:hAnsi="宋体" w:eastAsia="宋体" w:cs="宋体"/>
          <w:color w:val="000000"/>
          <w:sz w:val="20"/>
          <w:szCs w:val="20"/>
        </w:rPr>
        <w:t>元，</w:t>
      </w:r>
      <w:r>
        <w:rPr>
          <w:rFonts w:hint="eastAsia" w:ascii="宋体" w:hAnsi="宋体" w:eastAsia="宋体" w:cs="宋体"/>
          <w:color w:val="000000"/>
          <w:sz w:val="20"/>
          <w:szCs w:val="20"/>
          <w:lang w:eastAsia="zh-CN"/>
        </w:rPr>
        <w:t>降低</w:t>
      </w:r>
      <w:r>
        <w:rPr>
          <w:rFonts w:hint="eastAsia" w:ascii="宋体" w:hAnsi="宋体" w:eastAsia="宋体" w:cs="宋体"/>
          <w:color w:val="000000"/>
          <w:sz w:val="20"/>
          <w:szCs w:val="20"/>
          <w:lang w:val="en-US" w:eastAsia="zh-CN"/>
        </w:rPr>
        <w:t>95.24</w:t>
      </w:r>
      <w:r>
        <w:rPr>
          <w:rFonts w:hint="eastAsia" w:ascii="宋体" w:hAnsi="宋体" w:eastAsia="宋体" w:cs="宋体"/>
          <w:color w:val="000000"/>
          <w:sz w:val="20"/>
          <w:szCs w:val="20"/>
        </w:rPr>
        <w:t>%。主要</w:t>
      </w:r>
      <w:r>
        <w:rPr>
          <w:rFonts w:hint="eastAsia" w:ascii="宋体" w:hAnsi="宋体" w:eastAsia="宋体" w:cs="宋体"/>
          <w:color w:val="000000"/>
          <w:sz w:val="20"/>
          <w:szCs w:val="20"/>
          <w:lang w:eastAsia="zh-CN"/>
        </w:rPr>
        <w:t>结余为</w:t>
      </w:r>
      <w:r>
        <w:rPr>
          <w:rFonts w:hint="eastAsia" w:ascii="宋体" w:hAnsi="宋体" w:eastAsia="宋体" w:cs="宋体"/>
          <w:color w:val="000000"/>
          <w:sz w:val="20"/>
          <w:szCs w:val="20"/>
        </w:rPr>
        <w:t>2016年残疾人事业发展补助资金（中央专项彩票公益金）</w:t>
      </w:r>
      <w:r>
        <w:rPr>
          <w:rFonts w:hint="eastAsia" w:ascii="宋体" w:hAnsi="宋体" w:eastAsia="宋体" w:cs="宋体"/>
          <w:color w:val="000000"/>
          <w:sz w:val="20"/>
          <w:szCs w:val="20"/>
          <w:lang w:eastAsia="zh-CN"/>
        </w:rPr>
        <w:t>项目资金，该项目用于龙湾区基建项目完工后康复设施设备的采购，但工程本年未进入结算阶段采购后无场地存放，故未使用资金</w:t>
      </w:r>
      <w:r>
        <w:rPr>
          <w:rFonts w:hint="eastAsia" w:ascii="宋体" w:hAnsi="宋体" w:eastAsia="宋体" w:cs="宋体"/>
          <w:color w:val="000000"/>
          <w:sz w:val="20"/>
          <w:szCs w:val="20"/>
        </w:rPr>
        <w:t>。</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（八）一般公共预算 “三公”经费决算情况（无发生支出，需零说明）</w:t>
      </w:r>
    </w:p>
    <w:p>
      <w:pPr>
        <w:autoSpaceDE w:val="0"/>
        <w:autoSpaceDN w:val="0"/>
        <w:adjustRightInd w:val="0"/>
        <w:spacing w:line="360" w:lineRule="auto"/>
        <w:ind w:firstLine="600"/>
        <w:rPr>
          <w:rFonts w:hint="eastAsia" w:ascii="宋体" w:hAnsi="宋体" w:eastAsia="宋体" w:cs="宋体"/>
          <w:sz w:val="20"/>
          <w:szCs w:val="20"/>
          <w:lang w:val="zh-CN" w:eastAsia="zh-CN"/>
        </w:rPr>
      </w:pPr>
      <w:r>
        <w:rPr>
          <w:rFonts w:hint="eastAsia" w:ascii="宋体" w:hAnsi="宋体" w:eastAsia="宋体" w:cs="宋体"/>
          <w:color w:val="000000"/>
          <w:sz w:val="20"/>
          <w:szCs w:val="20"/>
        </w:rPr>
        <w:t>1.因公出国（境）费用：</w:t>
      </w:r>
      <w:r>
        <w:rPr>
          <w:rFonts w:hint="eastAsia" w:ascii="宋体" w:hAnsi="宋体" w:eastAsia="宋体" w:cs="宋体"/>
          <w:kern w:val="0"/>
          <w:sz w:val="20"/>
          <w:szCs w:val="20"/>
        </w:rPr>
        <w:t>根据外事部门安排的因公出国计划和实际工作需要，2017年度一般公共预算财政拨款因公出国（境）支出</w:t>
      </w:r>
      <w:r>
        <w:rPr>
          <w:rFonts w:hint="eastAsia" w:ascii="宋体" w:hAnsi="宋体" w:eastAsia="宋体" w:cs="宋体"/>
          <w:sz w:val="20"/>
          <w:szCs w:val="20"/>
          <w:lang w:val="en-US" w:eastAsia="zh-CN"/>
        </w:rPr>
        <w:t>4.02</w:t>
      </w:r>
      <w:r>
        <w:rPr>
          <w:rFonts w:hint="eastAsia" w:ascii="宋体" w:hAnsi="宋体" w:eastAsia="宋体" w:cs="宋体"/>
          <w:kern w:val="0"/>
          <w:sz w:val="20"/>
          <w:szCs w:val="20"/>
        </w:rPr>
        <w:t>万元，</w:t>
      </w:r>
      <w:r>
        <w:rPr>
          <w:rFonts w:hint="eastAsia" w:ascii="宋体" w:hAnsi="宋体" w:eastAsia="宋体" w:cs="宋体"/>
          <w:sz w:val="20"/>
          <w:szCs w:val="20"/>
        </w:rPr>
        <w:t>比年初预算</w:t>
      </w:r>
      <w:r>
        <w:rPr>
          <w:rFonts w:hint="eastAsia" w:ascii="宋体" w:hAnsi="宋体" w:eastAsia="宋体" w:cs="宋体"/>
          <w:sz w:val="20"/>
          <w:szCs w:val="20"/>
          <w:lang w:val="en-US" w:eastAsia="zh-CN"/>
        </w:rPr>
        <w:t>5.00万元</w:t>
      </w:r>
      <w:r>
        <w:rPr>
          <w:rFonts w:hint="eastAsia" w:ascii="宋体" w:hAnsi="宋体" w:eastAsia="宋体" w:cs="宋体"/>
          <w:sz w:val="20"/>
          <w:szCs w:val="20"/>
        </w:rPr>
        <w:t>减少</w:t>
      </w:r>
      <w:r>
        <w:rPr>
          <w:rFonts w:hint="eastAsia" w:ascii="宋体" w:hAnsi="宋体" w:eastAsia="宋体" w:cs="宋体"/>
          <w:sz w:val="20"/>
          <w:szCs w:val="20"/>
          <w:lang w:val="en-US" w:eastAsia="zh-CN"/>
        </w:rPr>
        <w:t>0.98</w:t>
      </w:r>
      <w:r>
        <w:rPr>
          <w:rFonts w:hint="eastAsia" w:ascii="宋体" w:hAnsi="宋体" w:eastAsia="宋体" w:cs="宋体"/>
          <w:sz w:val="20"/>
          <w:szCs w:val="20"/>
        </w:rPr>
        <w:t>万元，下降</w:t>
      </w:r>
      <w:r>
        <w:rPr>
          <w:rFonts w:hint="eastAsia" w:ascii="宋体" w:hAnsi="宋体" w:eastAsia="宋体" w:cs="宋体"/>
          <w:sz w:val="20"/>
          <w:szCs w:val="20"/>
          <w:lang w:val="en-US" w:eastAsia="zh-CN"/>
        </w:rPr>
        <w:t>19.6</w:t>
      </w:r>
      <w:r>
        <w:rPr>
          <w:rFonts w:hint="eastAsia" w:ascii="宋体" w:hAnsi="宋体" w:eastAsia="宋体" w:cs="宋体"/>
          <w:sz w:val="20"/>
          <w:szCs w:val="20"/>
        </w:rPr>
        <w:t>%，主要原因是</w:t>
      </w:r>
      <w:r>
        <w:rPr>
          <w:rFonts w:hint="eastAsia" w:ascii="宋体" w:hAnsi="宋体" w:eastAsia="宋体" w:cs="宋体"/>
          <w:sz w:val="20"/>
          <w:szCs w:val="20"/>
          <w:lang w:eastAsia="zh-CN"/>
        </w:rPr>
        <w:t>国际航空机票市场价变化</w:t>
      </w:r>
      <w:r>
        <w:rPr>
          <w:rFonts w:hint="eastAsia" w:ascii="宋体" w:hAnsi="宋体" w:eastAsia="宋体" w:cs="宋体"/>
          <w:sz w:val="20"/>
          <w:szCs w:val="20"/>
        </w:rPr>
        <w:t>；比上年</w:t>
      </w:r>
      <w:r>
        <w:rPr>
          <w:rFonts w:hint="eastAsia" w:ascii="宋体" w:hAnsi="宋体" w:eastAsia="宋体" w:cs="宋体"/>
          <w:sz w:val="20"/>
          <w:szCs w:val="20"/>
          <w:lang w:val="en-US" w:eastAsia="zh-CN"/>
        </w:rPr>
        <w:t>决算数3.34万元增加0.68万元，增长20.36%，主要原因是行程安排不同及国际航空机票市场价变化。因公出国（境）费用主要用于机关及下属预算单位人员公务出国（境）的住宿费、国际旅费、培训费、公杂费等支出。本部门全年组织因公出国(境)团组1个；本部门全年因公出国(境)累计1人次，较上年持平。</w:t>
      </w:r>
    </w:p>
    <w:p>
      <w:pPr>
        <w:tabs>
          <w:tab w:val="left" w:pos="2706"/>
        </w:tabs>
        <w:autoSpaceDE w:val="0"/>
        <w:autoSpaceDN w:val="0"/>
        <w:adjustRightInd w:val="0"/>
        <w:spacing w:line="360" w:lineRule="auto"/>
        <w:ind w:firstLine="600"/>
        <w:jc w:val="left"/>
        <w:rPr>
          <w:rFonts w:hint="eastAsia" w:ascii="宋体" w:hAnsi="宋体" w:eastAsia="宋体" w:cs="宋体"/>
          <w:sz w:val="20"/>
          <w:szCs w:val="20"/>
        </w:rPr>
      </w:pPr>
      <w:r>
        <w:rPr>
          <w:rFonts w:hint="eastAsia" w:ascii="宋体" w:hAnsi="宋体" w:eastAsia="宋体" w:cs="宋体"/>
          <w:sz w:val="20"/>
          <w:szCs w:val="20"/>
        </w:rPr>
        <w:t>2.公务接待费：2017年度</w:t>
      </w:r>
      <w:r>
        <w:rPr>
          <w:rFonts w:hint="eastAsia" w:ascii="宋体" w:hAnsi="宋体" w:eastAsia="宋体" w:cs="宋体"/>
          <w:kern w:val="0"/>
          <w:sz w:val="20"/>
          <w:szCs w:val="20"/>
        </w:rPr>
        <w:t>一般公共预算财政拨款</w:t>
      </w:r>
      <w:r>
        <w:rPr>
          <w:rFonts w:hint="eastAsia" w:ascii="宋体" w:hAnsi="宋体" w:eastAsia="宋体" w:cs="宋体"/>
          <w:sz w:val="20"/>
          <w:szCs w:val="20"/>
        </w:rPr>
        <w:t>公务接待费支出</w:t>
      </w:r>
      <w:r>
        <w:rPr>
          <w:rFonts w:hint="eastAsia" w:ascii="宋体" w:hAnsi="宋体" w:eastAsia="宋体" w:cs="宋体"/>
          <w:sz w:val="20"/>
          <w:szCs w:val="20"/>
          <w:lang w:val="en-US" w:eastAsia="zh-CN"/>
        </w:rPr>
        <w:t>0.55</w:t>
      </w:r>
      <w:r>
        <w:rPr>
          <w:rFonts w:hint="eastAsia" w:ascii="宋体" w:hAnsi="宋体" w:eastAsia="宋体" w:cs="宋体"/>
          <w:sz w:val="20"/>
          <w:szCs w:val="20"/>
        </w:rPr>
        <w:t>元，比年初预算</w:t>
      </w:r>
      <w:r>
        <w:rPr>
          <w:rFonts w:hint="eastAsia" w:ascii="宋体" w:hAnsi="宋体" w:eastAsia="宋体" w:cs="宋体"/>
          <w:sz w:val="20"/>
          <w:szCs w:val="20"/>
          <w:lang w:val="en-US" w:eastAsia="zh-CN"/>
        </w:rPr>
        <w:t>6.80万元</w:t>
      </w:r>
      <w:r>
        <w:rPr>
          <w:rFonts w:hint="eastAsia" w:ascii="宋体" w:hAnsi="宋体" w:eastAsia="宋体" w:cs="宋体"/>
          <w:sz w:val="20"/>
          <w:szCs w:val="20"/>
        </w:rPr>
        <w:t>减少</w:t>
      </w:r>
      <w:r>
        <w:rPr>
          <w:rFonts w:hint="eastAsia" w:ascii="宋体" w:hAnsi="宋体" w:eastAsia="宋体" w:cs="宋体"/>
          <w:sz w:val="20"/>
          <w:szCs w:val="20"/>
          <w:lang w:val="en-US" w:eastAsia="zh-CN"/>
        </w:rPr>
        <w:t>6.25</w:t>
      </w:r>
      <w:r>
        <w:rPr>
          <w:rFonts w:hint="eastAsia" w:ascii="宋体" w:hAnsi="宋体" w:eastAsia="宋体" w:cs="宋体"/>
          <w:sz w:val="20"/>
          <w:szCs w:val="20"/>
        </w:rPr>
        <w:t>万元，下降</w:t>
      </w:r>
      <w:r>
        <w:rPr>
          <w:rFonts w:hint="eastAsia" w:ascii="宋体" w:hAnsi="宋体" w:eastAsia="宋体" w:cs="宋体"/>
          <w:sz w:val="20"/>
          <w:szCs w:val="20"/>
          <w:lang w:val="en-US" w:eastAsia="zh-CN"/>
        </w:rPr>
        <w:t>91.91</w:t>
      </w:r>
      <w:r>
        <w:rPr>
          <w:rFonts w:hint="eastAsia" w:ascii="宋体" w:hAnsi="宋体" w:eastAsia="宋体" w:cs="宋体"/>
          <w:sz w:val="20"/>
          <w:szCs w:val="20"/>
        </w:rPr>
        <w:t>%，主要原因是</w:t>
      </w:r>
      <w:r>
        <w:rPr>
          <w:rFonts w:hint="eastAsia" w:ascii="宋体" w:hAnsi="宋体" w:eastAsia="宋体" w:cs="宋体"/>
          <w:sz w:val="20"/>
          <w:szCs w:val="20"/>
          <w:lang w:eastAsia="zh-CN"/>
        </w:rPr>
        <w:t>公务接待费用控制，接待批次和人数减少</w:t>
      </w:r>
      <w:r>
        <w:rPr>
          <w:rFonts w:hint="eastAsia" w:ascii="宋体" w:hAnsi="宋体" w:eastAsia="宋体" w:cs="宋体"/>
          <w:sz w:val="20"/>
          <w:szCs w:val="20"/>
        </w:rPr>
        <w:t>；比上年决算数1.03</w:t>
      </w:r>
      <w:r>
        <w:rPr>
          <w:rFonts w:hint="eastAsia" w:ascii="宋体" w:hAnsi="宋体" w:eastAsia="宋体" w:cs="宋体"/>
          <w:sz w:val="20"/>
          <w:szCs w:val="20"/>
          <w:lang w:eastAsia="zh-CN"/>
        </w:rPr>
        <w:t>万元</w:t>
      </w:r>
      <w:r>
        <w:rPr>
          <w:rFonts w:hint="eastAsia" w:ascii="宋体" w:hAnsi="宋体" w:eastAsia="宋体" w:cs="宋体"/>
          <w:sz w:val="20"/>
          <w:szCs w:val="20"/>
        </w:rPr>
        <w:t>减少</w:t>
      </w:r>
      <w:r>
        <w:rPr>
          <w:rFonts w:hint="eastAsia" w:ascii="宋体" w:hAnsi="宋体" w:eastAsia="宋体" w:cs="宋体"/>
          <w:sz w:val="20"/>
          <w:szCs w:val="20"/>
          <w:lang w:val="en-US" w:eastAsia="zh-CN"/>
        </w:rPr>
        <w:t>0.48</w:t>
      </w:r>
      <w:r>
        <w:rPr>
          <w:rFonts w:hint="eastAsia" w:ascii="宋体" w:hAnsi="宋体" w:eastAsia="宋体" w:cs="宋体"/>
          <w:sz w:val="20"/>
          <w:szCs w:val="20"/>
        </w:rPr>
        <w:t>万元，下降</w:t>
      </w:r>
      <w:r>
        <w:rPr>
          <w:rFonts w:hint="eastAsia" w:ascii="宋体" w:hAnsi="宋体" w:eastAsia="宋体" w:cs="宋体"/>
          <w:sz w:val="20"/>
          <w:szCs w:val="20"/>
          <w:lang w:val="en-US" w:eastAsia="zh-CN"/>
        </w:rPr>
        <w:t>46.60</w:t>
      </w:r>
      <w:r>
        <w:rPr>
          <w:rFonts w:hint="eastAsia" w:ascii="宋体" w:hAnsi="宋体" w:eastAsia="宋体" w:cs="宋体"/>
          <w:sz w:val="20"/>
          <w:szCs w:val="20"/>
        </w:rPr>
        <w:t>%，减少的主要原因是</w:t>
      </w:r>
      <w:r>
        <w:rPr>
          <w:rFonts w:hint="eastAsia" w:ascii="宋体" w:hAnsi="宋体" w:eastAsia="宋体" w:cs="宋体"/>
          <w:sz w:val="20"/>
          <w:szCs w:val="20"/>
          <w:lang w:eastAsia="zh-CN"/>
        </w:rPr>
        <w:t>公务接待费用控制，接待批次和人数减少</w:t>
      </w:r>
      <w:r>
        <w:rPr>
          <w:rFonts w:hint="eastAsia" w:ascii="宋体" w:hAnsi="宋体" w:eastAsia="宋体" w:cs="宋体"/>
          <w:sz w:val="20"/>
          <w:szCs w:val="20"/>
        </w:rPr>
        <w:t>。</w:t>
      </w:r>
      <w:r>
        <w:rPr>
          <w:rFonts w:hint="eastAsia" w:ascii="宋体" w:hAnsi="宋体" w:eastAsia="宋体" w:cs="宋体"/>
          <w:sz w:val="20"/>
          <w:szCs w:val="20"/>
          <w:lang w:val="en-US" w:eastAsia="zh-CN"/>
        </w:rPr>
        <w:t>公务接待费主要用于接待公务活动等支出。</w:t>
      </w:r>
      <w:r>
        <w:rPr>
          <w:rFonts w:hint="eastAsia" w:ascii="宋体" w:hAnsi="宋体" w:eastAsia="宋体" w:cs="宋体"/>
          <w:kern w:val="0"/>
          <w:sz w:val="20"/>
          <w:szCs w:val="20"/>
        </w:rPr>
        <w:t>其中，本部门国</w:t>
      </w:r>
      <w:r>
        <w:rPr>
          <w:rFonts w:hint="eastAsia" w:ascii="宋体" w:hAnsi="宋体" w:eastAsia="宋体" w:cs="宋体"/>
          <w:sz w:val="20"/>
          <w:szCs w:val="20"/>
        </w:rPr>
        <w:t>内公务接待</w:t>
      </w:r>
      <w:r>
        <w:rPr>
          <w:rFonts w:hint="eastAsia" w:ascii="宋体" w:hAnsi="宋体" w:eastAsia="宋体" w:cs="宋体"/>
          <w:sz w:val="20"/>
          <w:szCs w:val="20"/>
          <w:lang w:val="en-US" w:eastAsia="zh-CN"/>
        </w:rPr>
        <w:t>6</w:t>
      </w:r>
      <w:r>
        <w:rPr>
          <w:rFonts w:hint="eastAsia" w:ascii="宋体" w:hAnsi="宋体" w:eastAsia="宋体" w:cs="宋体"/>
          <w:sz w:val="20"/>
          <w:szCs w:val="20"/>
        </w:rPr>
        <w:t>批次</w:t>
      </w:r>
      <w:r>
        <w:rPr>
          <w:rFonts w:hint="eastAsia" w:ascii="宋体" w:hAnsi="宋体" w:eastAsia="宋体" w:cs="宋体"/>
          <w:kern w:val="0"/>
          <w:sz w:val="20"/>
          <w:szCs w:val="20"/>
        </w:rPr>
        <w:t>，</w:t>
      </w:r>
      <w:r>
        <w:rPr>
          <w:rFonts w:hint="eastAsia" w:ascii="宋体" w:hAnsi="宋体" w:eastAsia="宋体" w:cs="宋体"/>
          <w:sz w:val="20"/>
          <w:szCs w:val="20"/>
          <w:lang w:val="en-US" w:eastAsia="zh-CN"/>
        </w:rPr>
        <w:t>33</w:t>
      </w:r>
      <w:r>
        <w:rPr>
          <w:rFonts w:hint="eastAsia" w:ascii="宋体" w:hAnsi="宋体" w:eastAsia="宋体" w:cs="宋体"/>
          <w:kern w:val="0"/>
          <w:sz w:val="20"/>
          <w:szCs w:val="20"/>
        </w:rPr>
        <w:t>人次，支出</w:t>
      </w:r>
      <w:r>
        <w:rPr>
          <w:rFonts w:hint="eastAsia" w:ascii="宋体" w:hAnsi="宋体" w:eastAsia="宋体" w:cs="宋体"/>
          <w:kern w:val="0"/>
          <w:sz w:val="20"/>
          <w:szCs w:val="20"/>
          <w:lang w:val="en-US" w:eastAsia="zh-CN"/>
        </w:rPr>
        <w:t>0.55</w:t>
      </w:r>
      <w:r>
        <w:rPr>
          <w:rFonts w:hint="eastAsia" w:ascii="宋体" w:hAnsi="宋体" w:eastAsia="宋体" w:cs="宋体"/>
          <w:kern w:val="0"/>
          <w:sz w:val="20"/>
          <w:szCs w:val="20"/>
        </w:rPr>
        <w:t>万元；国（境）外事接待</w:t>
      </w:r>
      <w:r>
        <w:rPr>
          <w:rFonts w:hint="eastAsia" w:ascii="宋体" w:hAnsi="宋体" w:eastAsia="宋体" w:cs="宋体"/>
          <w:sz w:val="20"/>
          <w:szCs w:val="20"/>
          <w:lang w:val="en-US" w:eastAsia="zh-CN"/>
        </w:rPr>
        <w:t>0</w:t>
      </w:r>
      <w:r>
        <w:rPr>
          <w:rFonts w:hint="eastAsia" w:ascii="宋体" w:hAnsi="宋体" w:eastAsia="宋体" w:cs="宋体"/>
          <w:kern w:val="0"/>
          <w:sz w:val="20"/>
          <w:szCs w:val="20"/>
        </w:rPr>
        <w:t>批次，</w:t>
      </w:r>
      <w:r>
        <w:rPr>
          <w:rFonts w:hint="eastAsia" w:ascii="宋体" w:hAnsi="宋体" w:eastAsia="宋体" w:cs="宋体"/>
          <w:sz w:val="20"/>
          <w:szCs w:val="20"/>
          <w:lang w:val="en-US" w:eastAsia="zh-CN"/>
        </w:rPr>
        <w:t>0</w:t>
      </w:r>
      <w:r>
        <w:rPr>
          <w:rFonts w:hint="eastAsia" w:ascii="宋体" w:hAnsi="宋体" w:eastAsia="宋体" w:cs="宋体"/>
          <w:kern w:val="0"/>
          <w:sz w:val="20"/>
          <w:szCs w:val="20"/>
        </w:rPr>
        <w:t>人次，支出</w:t>
      </w:r>
      <w:r>
        <w:rPr>
          <w:rFonts w:hint="eastAsia" w:ascii="宋体" w:hAnsi="宋体" w:eastAsia="宋体" w:cs="宋体"/>
          <w:sz w:val="20"/>
          <w:szCs w:val="20"/>
          <w:lang w:val="en-US" w:eastAsia="zh-CN"/>
        </w:rPr>
        <w:t>0.00</w:t>
      </w:r>
      <w:r>
        <w:rPr>
          <w:rFonts w:hint="eastAsia" w:ascii="宋体" w:hAnsi="宋体" w:eastAsia="宋体" w:cs="宋体"/>
          <w:kern w:val="0"/>
          <w:sz w:val="20"/>
          <w:szCs w:val="20"/>
        </w:rPr>
        <w:t>万元。</w:t>
      </w:r>
    </w:p>
    <w:p>
      <w:pPr>
        <w:autoSpaceDE w:val="0"/>
        <w:autoSpaceDN w:val="0"/>
        <w:adjustRightInd w:val="0"/>
        <w:spacing w:line="360" w:lineRule="auto"/>
        <w:ind w:firstLine="600"/>
        <w:rPr>
          <w:rFonts w:hint="eastAsia" w:ascii="宋体" w:hAnsi="宋体" w:eastAsia="宋体" w:cs="宋体"/>
          <w:sz w:val="20"/>
          <w:szCs w:val="20"/>
        </w:rPr>
      </w:pPr>
      <w:r>
        <w:rPr>
          <w:rFonts w:hint="eastAsia" w:ascii="宋体" w:hAnsi="宋体" w:eastAsia="宋体" w:cs="宋体"/>
          <w:kern w:val="0"/>
          <w:sz w:val="20"/>
          <w:szCs w:val="20"/>
        </w:rPr>
        <w:t>3.公务用车购置及运行维护费：2017年度一般公共预算财政拨款公务用车购置及运行维护费支出</w:t>
      </w:r>
      <w:r>
        <w:rPr>
          <w:rFonts w:hint="eastAsia" w:ascii="宋体" w:hAnsi="宋体" w:eastAsia="宋体" w:cs="宋体"/>
          <w:sz w:val="20"/>
          <w:szCs w:val="20"/>
          <w:lang w:val="en-US" w:eastAsia="zh-CN"/>
        </w:rPr>
        <w:t>0.00</w:t>
      </w:r>
      <w:r>
        <w:rPr>
          <w:rFonts w:hint="eastAsia" w:ascii="宋体" w:hAnsi="宋体" w:eastAsia="宋体" w:cs="宋体"/>
          <w:kern w:val="0"/>
          <w:sz w:val="20"/>
          <w:szCs w:val="20"/>
        </w:rPr>
        <w:t>万元，</w:t>
      </w:r>
      <w:r>
        <w:rPr>
          <w:rFonts w:hint="eastAsia" w:ascii="宋体" w:hAnsi="宋体" w:eastAsia="宋体" w:cs="宋体"/>
          <w:sz w:val="20"/>
          <w:szCs w:val="20"/>
        </w:rPr>
        <w:t>比年初预算</w:t>
      </w:r>
      <w:r>
        <w:rPr>
          <w:rFonts w:hint="eastAsia" w:ascii="宋体" w:hAnsi="宋体" w:eastAsia="宋体" w:cs="宋体"/>
          <w:sz w:val="20"/>
          <w:szCs w:val="20"/>
          <w:lang w:val="en-US" w:eastAsia="zh-CN"/>
        </w:rPr>
        <w:t>0.00万元</w:t>
      </w:r>
      <w:r>
        <w:rPr>
          <w:rFonts w:hint="eastAsia" w:ascii="宋体" w:hAnsi="宋体" w:eastAsia="宋体" w:cs="宋体"/>
          <w:sz w:val="20"/>
          <w:szCs w:val="20"/>
        </w:rPr>
        <w:t>减少</w:t>
      </w:r>
      <w:r>
        <w:rPr>
          <w:rFonts w:hint="eastAsia" w:ascii="宋体" w:hAnsi="宋体" w:eastAsia="宋体" w:cs="宋体"/>
          <w:sz w:val="20"/>
          <w:szCs w:val="20"/>
          <w:lang w:val="en-US" w:eastAsia="zh-CN"/>
        </w:rPr>
        <w:t>0.00</w:t>
      </w:r>
      <w:r>
        <w:rPr>
          <w:rFonts w:hint="eastAsia" w:ascii="宋体" w:hAnsi="宋体" w:eastAsia="宋体" w:cs="宋体"/>
          <w:sz w:val="20"/>
          <w:szCs w:val="20"/>
        </w:rPr>
        <w:t>万元，下降</w:t>
      </w:r>
      <w:r>
        <w:rPr>
          <w:rFonts w:hint="eastAsia" w:ascii="宋体" w:hAnsi="宋体" w:eastAsia="宋体" w:cs="宋体"/>
          <w:sz w:val="20"/>
          <w:szCs w:val="20"/>
          <w:lang w:val="en-US" w:eastAsia="zh-CN"/>
        </w:rPr>
        <w:t>0.00</w:t>
      </w:r>
      <w:r>
        <w:rPr>
          <w:rFonts w:hint="eastAsia" w:ascii="宋体" w:hAnsi="宋体" w:eastAsia="宋体" w:cs="宋体"/>
          <w:sz w:val="20"/>
          <w:szCs w:val="20"/>
        </w:rPr>
        <w:t>%；比上年决算数</w:t>
      </w:r>
      <w:r>
        <w:rPr>
          <w:rFonts w:hint="eastAsia" w:ascii="宋体" w:hAnsi="宋体" w:eastAsia="宋体" w:cs="宋体"/>
          <w:sz w:val="20"/>
          <w:szCs w:val="20"/>
          <w:lang w:val="en-US" w:eastAsia="zh-CN"/>
        </w:rPr>
        <w:t>0.00万元</w:t>
      </w:r>
      <w:r>
        <w:rPr>
          <w:rFonts w:hint="eastAsia" w:ascii="宋体" w:hAnsi="宋体" w:eastAsia="宋体" w:cs="宋体"/>
          <w:sz w:val="20"/>
          <w:szCs w:val="20"/>
        </w:rPr>
        <w:t>增加</w:t>
      </w:r>
      <w:r>
        <w:rPr>
          <w:rFonts w:hint="eastAsia" w:ascii="宋体" w:hAnsi="宋体" w:eastAsia="宋体" w:cs="宋体"/>
          <w:sz w:val="20"/>
          <w:szCs w:val="20"/>
          <w:lang w:val="en-US" w:eastAsia="zh-CN"/>
        </w:rPr>
        <w:t>0.00</w:t>
      </w:r>
      <w:r>
        <w:rPr>
          <w:rFonts w:hint="eastAsia" w:ascii="宋体" w:hAnsi="宋体" w:eastAsia="宋体" w:cs="宋体"/>
          <w:sz w:val="20"/>
          <w:szCs w:val="20"/>
        </w:rPr>
        <w:t>万元，增长</w:t>
      </w:r>
      <w:r>
        <w:rPr>
          <w:rFonts w:hint="eastAsia" w:ascii="宋体" w:hAnsi="宋体" w:eastAsia="宋体" w:cs="宋体"/>
          <w:sz w:val="20"/>
          <w:szCs w:val="20"/>
          <w:lang w:val="en-US" w:eastAsia="zh-CN"/>
        </w:rPr>
        <w:t>0.00</w:t>
      </w:r>
      <w:r>
        <w:rPr>
          <w:rFonts w:hint="eastAsia" w:ascii="宋体" w:hAnsi="宋体" w:eastAsia="宋体" w:cs="宋体"/>
          <w:sz w:val="20"/>
          <w:szCs w:val="20"/>
        </w:rPr>
        <w:t>%。具体内容如下：</w:t>
      </w:r>
    </w:p>
    <w:p>
      <w:pPr>
        <w:autoSpaceDE w:val="0"/>
        <w:autoSpaceDN w:val="0"/>
        <w:adjustRightInd w:val="0"/>
        <w:spacing w:line="360" w:lineRule="auto"/>
        <w:ind w:firstLine="600"/>
        <w:rPr>
          <w:rFonts w:hint="eastAsia" w:ascii="宋体" w:hAnsi="宋体" w:eastAsia="宋体" w:cs="宋体"/>
          <w:kern w:val="0"/>
          <w:sz w:val="20"/>
          <w:szCs w:val="20"/>
        </w:rPr>
      </w:pPr>
      <w:r>
        <w:rPr>
          <w:rFonts w:hint="eastAsia" w:ascii="宋体" w:hAnsi="宋体" w:eastAsia="宋体" w:cs="宋体"/>
          <w:kern w:val="0"/>
          <w:sz w:val="20"/>
          <w:szCs w:val="20"/>
        </w:rPr>
        <w:t>公务用车购置支出</w:t>
      </w:r>
      <w:r>
        <w:rPr>
          <w:rFonts w:hint="eastAsia" w:ascii="宋体" w:hAnsi="宋体" w:eastAsia="宋体" w:cs="宋体"/>
          <w:sz w:val="20"/>
          <w:szCs w:val="20"/>
          <w:lang w:val="en-US" w:eastAsia="zh-CN"/>
        </w:rPr>
        <w:t>0.00</w:t>
      </w:r>
      <w:r>
        <w:rPr>
          <w:rFonts w:hint="eastAsia" w:ascii="宋体" w:hAnsi="宋体" w:eastAsia="宋体" w:cs="宋体"/>
          <w:kern w:val="0"/>
          <w:sz w:val="20"/>
          <w:szCs w:val="20"/>
        </w:rPr>
        <w:t>万元（含购置税等附加费用），主要用于经批准购置的</w:t>
      </w:r>
      <w:r>
        <w:rPr>
          <w:rFonts w:hint="eastAsia" w:ascii="宋体" w:hAnsi="宋体" w:eastAsia="宋体" w:cs="宋体"/>
          <w:sz w:val="20"/>
          <w:szCs w:val="20"/>
          <w:lang w:val="en-US" w:eastAsia="zh-CN"/>
        </w:rPr>
        <w:t>0</w:t>
      </w:r>
      <w:r>
        <w:rPr>
          <w:rFonts w:hint="eastAsia" w:ascii="宋体" w:hAnsi="宋体" w:eastAsia="宋体" w:cs="宋体"/>
          <w:kern w:val="0"/>
          <w:sz w:val="20"/>
          <w:szCs w:val="20"/>
        </w:rPr>
        <w:t>辆公务用车。</w:t>
      </w:r>
    </w:p>
    <w:p>
      <w:pPr>
        <w:autoSpaceDE w:val="0"/>
        <w:autoSpaceDN w:val="0"/>
        <w:adjustRightInd w:val="0"/>
        <w:spacing w:line="360" w:lineRule="auto"/>
        <w:ind w:firstLine="600"/>
        <w:rPr>
          <w:rFonts w:hint="eastAsia" w:ascii="宋体" w:hAnsi="宋体" w:eastAsia="宋体" w:cs="宋体"/>
          <w:sz w:val="20"/>
          <w:szCs w:val="20"/>
          <w:lang w:val="zh-CN"/>
        </w:rPr>
      </w:pPr>
      <w:r>
        <w:rPr>
          <w:rFonts w:hint="eastAsia" w:ascii="宋体" w:hAnsi="宋体" w:eastAsia="宋体" w:cs="宋体"/>
          <w:kern w:val="0"/>
          <w:sz w:val="20"/>
          <w:szCs w:val="20"/>
        </w:rPr>
        <w:t>公务用车运行维护费支出</w:t>
      </w:r>
      <w:r>
        <w:rPr>
          <w:rFonts w:hint="eastAsia" w:ascii="宋体" w:hAnsi="宋体" w:eastAsia="宋体" w:cs="宋体"/>
          <w:sz w:val="20"/>
          <w:szCs w:val="20"/>
          <w:lang w:val="en-US" w:eastAsia="zh-CN"/>
        </w:rPr>
        <w:t>0.00</w:t>
      </w:r>
      <w:r>
        <w:rPr>
          <w:rFonts w:hint="eastAsia" w:ascii="宋体" w:hAnsi="宋体" w:eastAsia="宋体" w:cs="宋体"/>
          <w:kern w:val="0"/>
          <w:sz w:val="20"/>
          <w:szCs w:val="20"/>
        </w:rPr>
        <w:t>万元，主要用于</w:t>
      </w:r>
      <w:r>
        <w:rPr>
          <w:rFonts w:hint="eastAsia" w:ascii="宋体" w:hAnsi="宋体" w:eastAsia="宋体" w:cs="宋体"/>
          <w:kern w:val="0"/>
          <w:sz w:val="20"/>
          <w:szCs w:val="20"/>
          <w:lang w:eastAsia="zh-CN"/>
        </w:rPr>
        <w:t>中残联捐赠使用的残疾人流动服务车</w:t>
      </w:r>
      <w:r>
        <w:rPr>
          <w:rFonts w:hint="eastAsia" w:ascii="宋体" w:hAnsi="宋体" w:eastAsia="宋体" w:cs="宋体"/>
          <w:kern w:val="0"/>
          <w:sz w:val="20"/>
          <w:szCs w:val="20"/>
        </w:rPr>
        <w:t>所需的公务用车燃料费、维修费、过路过桥费、保险费、安全奖励费用等支出。2017年度，本级及所属单位使用一般公共预算资金开支费用的</w:t>
      </w:r>
      <w:r>
        <w:rPr>
          <w:rFonts w:hint="eastAsia" w:ascii="宋体" w:hAnsi="宋体" w:eastAsia="宋体" w:cs="宋体"/>
          <w:sz w:val="20"/>
          <w:szCs w:val="20"/>
          <w:lang w:val="zh-CN"/>
        </w:rPr>
        <w:t>公务用车保有量为</w:t>
      </w:r>
      <w:r>
        <w:rPr>
          <w:rFonts w:hint="eastAsia" w:ascii="宋体" w:hAnsi="宋体" w:eastAsia="宋体" w:cs="宋体"/>
          <w:sz w:val="20"/>
          <w:szCs w:val="20"/>
          <w:lang w:val="en-US" w:eastAsia="zh-CN"/>
        </w:rPr>
        <w:t>0</w:t>
      </w:r>
      <w:r>
        <w:rPr>
          <w:rFonts w:hint="eastAsia" w:ascii="宋体" w:hAnsi="宋体" w:eastAsia="宋体" w:cs="宋体"/>
          <w:sz w:val="20"/>
          <w:szCs w:val="20"/>
        </w:rPr>
        <w:t>辆。</w:t>
      </w:r>
    </w:p>
    <w:p>
      <w:pPr>
        <w:autoSpaceDE w:val="0"/>
        <w:autoSpaceDN w:val="0"/>
        <w:adjustRightIn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（九）其他重要事项情况说明</w:t>
      </w:r>
    </w:p>
    <w:p>
      <w:pPr>
        <w:autoSpaceDE w:val="0"/>
        <w:autoSpaceDN w:val="0"/>
        <w:adjustRightInd w:val="0"/>
        <w:spacing w:line="360" w:lineRule="auto"/>
        <w:ind w:firstLine="600"/>
        <w:rPr>
          <w:rFonts w:hint="eastAsia" w:ascii="宋体" w:hAnsi="宋体" w:eastAsia="宋体" w:cs="宋体"/>
          <w:kern w:val="0"/>
          <w:sz w:val="20"/>
          <w:szCs w:val="20"/>
        </w:rPr>
      </w:pPr>
      <w:r>
        <w:rPr>
          <w:rFonts w:hint="eastAsia" w:ascii="宋体" w:hAnsi="宋体" w:eastAsia="宋体" w:cs="宋体"/>
          <w:kern w:val="0"/>
          <w:sz w:val="20"/>
          <w:szCs w:val="20"/>
        </w:rPr>
        <w:t>1、机关运行经费支出情况</w:t>
      </w:r>
    </w:p>
    <w:p>
      <w:pPr>
        <w:autoSpaceDE w:val="0"/>
        <w:autoSpaceDN w:val="0"/>
        <w:adjustRightInd w:val="0"/>
        <w:spacing w:line="360" w:lineRule="auto"/>
        <w:ind w:firstLine="600"/>
        <w:rPr>
          <w:rFonts w:hint="eastAsia" w:ascii="宋体" w:hAnsi="宋体" w:eastAsia="宋体" w:cs="宋体"/>
          <w:kern w:val="0"/>
          <w:sz w:val="20"/>
          <w:szCs w:val="20"/>
        </w:rPr>
      </w:pPr>
      <w:r>
        <w:rPr>
          <w:rFonts w:hint="eastAsia" w:ascii="宋体" w:hAnsi="宋体" w:eastAsia="宋体" w:cs="宋体"/>
          <w:kern w:val="0"/>
          <w:sz w:val="20"/>
          <w:szCs w:val="20"/>
        </w:rPr>
        <w:t>2017年度年度温州市残疾人联合会（本级）的机关事业运行经费支出</w:t>
      </w:r>
      <w:r>
        <w:rPr>
          <w:rFonts w:hint="eastAsia" w:ascii="宋体" w:hAnsi="宋体" w:eastAsia="宋体" w:cs="宋体"/>
          <w:kern w:val="0"/>
          <w:sz w:val="20"/>
          <w:szCs w:val="20"/>
          <w:lang w:val="en-US" w:eastAsia="zh-CN"/>
        </w:rPr>
        <w:t>51.00</w:t>
      </w:r>
      <w:r>
        <w:rPr>
          <w:rFonts w:hint="eastAsia" w:ascii="宋体" w:hAnsi="宋体" w:eastAsia="宋体" w:cs="宋体"/>
          <w:kern w:val="0"/>
          <w:sz w:val="20"/>
          <w:szCs w:val="20"/>
        </w:rPr>
        <w:t>万元，比上年54.54</w:t>
      </w:r>
      <w:r>
        <w:rPr>
          <w:rFonts w:hint="eastAsia" w:ascii="宋体" w:hAnsi="宋体" w:eastAsia="宋体" w:cs="宋体"/>
          <w:kern w:val="0"/>
          <w:sz w:val="20"/>
          <w:szCs w:val="20"/>
          <w:lang w:eastAsia="zh-CN"/>
        </w:rPr>
        <w:t>万元</w:t>
      </w:r>
      <w:r>
        <w:rPr>
          <w:rFonts w:hint="eastAsia" w:ascii="宋体" w:hAnsi="宋体" w:eastAsia="宋体" w:cs="宋体"/>
          <w:kern w:val="0"/>
          <w:sz w:val="20"/>
          <w:szCs w:val="20"/>
        </w:rPr>
        <w:t>减少</w:t>
      </w:r>
      <w:r>
        <w:rPr>
          <w:rFonts w:hint="eastAsia" w:ascii="宋体" w:hAnsi="宋体" w:eastAsia="宋体" w:cs="宋体"/>
          <w:kern w:val="0"/>
          <w:sz w:val="20"/>
          <w:szCs w:val="20"/>
          <w:lang w:val="en-US" w:eastAsia="zh-CN"/>
        </w:rPr>
        <w:t>3.54</w:t>
      </w:r>
      <w:r>
        <w:rPr>
          <w:rFonts w:hint="eastAsia" w:ascii="宋体" w:hAnsi="宋体" w:eastAsia="宋体" w:cs="宋体"/>
          <w:kern w:val="0"/>
          <w:sz w:val="20"/>
          <w:szCs w:val="20"/>
        </w:rPr>
        <w:t>万元，减少</w:t>
      </w:r>
      <w:r>
        <w:rPr>
          <w:rFonts w:hint="eastAsia" w:ascii="宋体" w:hAnsi="宋体" w:eastAsia="宋体" w:cs="宋体"/>
          <w:kern w:val="0"/>
          <w:sz w:val="20"/>
          <w:szCs w:val="20"/>
          <w:lang w:val="en-US" w:eastAsia="zh-CN"/>
        </w:rPr>
        <w:t>6.49</w:t>
      </w:r>
      <w:r>
        <w:rPr>
          <w:rFonts w:hint="eastAsia" w:ascii="宋体" w:hAnsi="宋体" w:eastAsia="宋体" w:cs="宋体"/>
          <w:kern w:val="0"/>
          <w:sz w:val="20"/>
          <w:szCs w:val="20"/>
        </w:rPr>
        <w:t>%，主要原因是</w:t>
      </w:r>
      <w:r>
        <w:rPr>
          <w:rFonts w:hint="eastAsia" w:ascii="宋体" w:hAnsi="宋体" w:eastAsia="宋体" w:cs="宋体"/>
          <w:kern w:val="0"/>
          <w:sz w:val="20"/>
          <w:szCs w:val="20"/>
          <w:lang w:eastAsia="zh-CN"/>
        </w:rPr>
        <w:t>年底公用经费预算指标剩余不足，无法支付本年工会经费剩余应付资金</w:t>
      </w:r>
      <w:r>
        <w:rPr>
          <w:rFonts w:hint="eastAsia" w:ascii="宋体" w:hAnsi="宋体" w:eastAsia="宋体" w:cs="宋体"/>
          <w:kern w:val="0"/>
          <w:sz w:val="20"/>
          <w:szCs w:val="20"/>
          <w:lang w:val="en-US" w:eastAsia="zh-CN"/>
        </w:rPr>
        <w:t>1.32万元</w:t>
      </w:r>
      <w:r>
        <w:rPr>
          <w:rFonts w:hint="eastAsia" w:ascii="宋体" w:hAnsi="宋体" w:eastAsia="宋体" w:cs="宋体"/>
          <w:kern w:val="0"/>
          <w:sz w:val="20"/>
          <w:szCs w:val="20"/>
          <w:lang w:eastAsia="zh-CN"/>
        </w:rPr>
        <w:t>，不足部分在</w:t>
      </w:r>
      <w:r>
        <w:rPr>
          <w:rFonts w:hint="eastAsia" w:ascii="宋体" w:hAnsi="宋体" w:eastAsia="宋体" w:cs="宋体"/>
          <w:kern w:val="0"/>
          <w:sz w:val="20"/>
          <w:szCs w:val="20"/>
          <w:lang w:val="en-US" w:eastAsia="zh-CN"/>
        </w:rPr>
        <w:t>2018年列支；另福利费比去年降低1.64万元</w:t>
      </w:r>
      <w:r>
        <w:rPr>
          <w:rFonts w:hint="eastAsia" w:ascii="宋体" w:hAnsi="宋体" w:eastAsia="宋体" w:cs="宋体"/>
          <w:kern w:val="0"/>
          <w:sz w:val="20"/>
          <w:szCs w:val="20"/>
        </w:rPr>
        <w:t>。</w:t>
      </w:r>
    </w:p>
    <w:p>
      <w:pPr>
        <w:autoSpaceDE w:val="0"/>
        <w:autoSpaceDN w:val="0"/>
        <w:adjustRightInd w:val="0"/>
        <w:spacing w:line="360" w:lineRule="auto"/>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2、政府采购情况</w:t>
      </w:r>
    </w:p>
    <w:p>
      <w:pPr>
        <w:autoSpaceDE w:val="0"/>
        <w:autoSpaceDN w:val="0"/>
        <w:adjustRightInd w:val="0"/>
        <w:spacing w:line="360" w:lineRule="auto"/>
        <w:ind w:firstLine="600" w:firstLineChars="300"/>
        <w:rPr>
          <w:rFonts w:hint="eastAsia" w:ascii="宋体" w:hAnsi="宋体" w:eastAsia="宋体" w:cs="宋体"/>
          <w:kern w:val="0"/>
          <w:sz w:val="20"/>
          <w:szCs w:val="20"/>
        </w:rPr>
      </w:pPr>
      <w:r>
        <w:rPr>
          <w:rFonts w:hint="eastAsia" w:ascii="宋体" w:hAnsi="宋体" w:eastAsia="宋体" w:cs="宋体"/>
          <w:kern w:val="0"/>
          <w:sz w:val="20"/>
          <w:szCs w:val="20"/>
        </w:rPr>
        <w:t>2017年度</w:t>
      </w:r>
      <w:r>
        <w:rPr>
          <w:rFonts w:hint="eastAsia" w:ascii="宋体" w:hAnsi="宋体" w:eastAsia="宋体" w:cs="宋体"/>
          <w:kern w:val="0"/>
          <w:sz w:val="20"/>
          <w:szCs w:val="20"/>
          <w:lang w:eastAsia="zh-CN"/>
        </w:rPr>
        <w:t>市残联</w:t>
      </w:r>
      <w:r>
        <w:rPr>
          <w:rFonts w:hint="eastAsia" w:ascii="宋体" w:hAnsi="宋体" w:eastAsia="宋体" w:cs="宋体"/>
          <w:kern w:val="0"/>
          <w:sz w:val="20"/>
          <w:szCs w:val="20"/>
        </w:rPr>
        <w:t>本级及所属各预算单位政府采购预算</w:t>
      </w:r>
      <w:r>
        <w:rPr>
          <w:rFonts w:hint="eastAsia" w:ascii="宋体" w:hAnsi="宋体" w:eastAsia="宋体" w:cs="宋体"/>
          <w:kern w:val="0"/>
          <w:sz w:val="20"/>
          <w:szCs w:val="20"/>
          <w:lang w:val="en-US" w:eastAsia="zh-CN"/>
        </w:rPr>
        <w:t>90.11</w:t>
      </w:r>
      <w:r>
        <w:rPr>
          <w:rFonts w:hint="eastAsia" w:ascii="宋体" w:hAnsi="宋体" w:eastAsia="宋体" w:cs="宋体"/>
          <w:kern w:val="0"/>
          <w:sz w:val="20"/>
          <w:szCs w:val="20"/>
        </w:rPr>
        <w:t>万元，采购支出总额</w:t>
      </w:r>
      <w:r>
        <w:rPr>
          <w:rFonts w:hint="eastAsia" w:ascii="宋体" w:hAnsi="宋体" w:eastAsia="宋体" w:cs="宋体"/>
          <w:kern w:val="0"/>
          <w:sz w:val="20"/>
          <w:szCs w:val="20"/>
          <w:lang w:val="en-US" w:eastAsia="zh-CN"/>
        </w:rPr>
        <w:t>89.88</w:t>
      </w:r>
      <w:r>
        <w:rPr>
          <w:rFonts w:hint="eastAsia" w:ascii="宋体" w:hAnsi="宋体" w:eastAsia="宋体" w:cs="宋体"/>
          <w:kern w:val="0"/>
          <w:sz w:val="20"/>
          <w:szCs w:val="20"/>
        </w:rPr>
        <w:t>万元。其中：货物采购支出</w:t>
      </w:r>
      <w:r>
        <w:rPr>
          <w:rFonts w:hint="eastAsia" w:ascii="宋体" w:hAnsi="宋体" w:eastAsia="宋体" w:cs="宋体"/>
          <w:kern w:val="0"/>
          <w:sz w:val="20"/>
          <w:szCs w:val="20"/>
          <w:lang w:val="en-US" w:eastAsia="zh-CN"/>
        </w:rPr>
        <w:t>3.98</w:t>
      </w:r>
      <w:r>
        <w:rPr>
          <w:rFonts w:hint="eastAsia" w:ascii="宋体" w:hAnsi="宋体" w:eastAsia="宋体" w:cs="宋体"/>
          <w:kern w:val="0"/>
          <w:sz w:val="20"/>
          <w:szCs w:val="20"/>
        </w:rPr>
        <w:t>万元；工程采购支出</w:t>
      </w: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万元；服务采购支出</w:t>
      </w:r>
      <w:r>
        <w:rPr>
          <w:rFonts w:hint="eastAsia" w:ascii="宋体" w:hAnsi="宋体" w:eastAsia="宋体" w:cs="宋体"/>
          <w:kern w:val="0"/>
          <w:sz w:val="20"/>
          <w:szCs w:val="20"/>
          <w:lang w:val="en-US" w:eastAsia="zh-CN"/>
        </w:rPr>
        <w:t>85.90</w:t>
      </w:r>
      <w:r>
        <w:rPr>
          <w:rFonts w:hint="eastAsia" w:ascii="宋体" w:hAnsi="宋体" w:eastAsia="宋体" w:cs="宋体"/>
          <w:kern w:val="0"/>
          <w:sz w:val="20"/>
          <w:szCs w:val="20"/>
        </w:rPr>
        <w:t xml:space="preserve">万元。授予中小企业合同金额 </w:t>
      </w: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万元，占政府采购支出总额</w:t>
      </w: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%,其中：授予小微企业合同金额</w:t>
      </w: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万元，占政府采购支出总额</w:t>
      </w: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w:t>
      </w:r>
    </w:p>
    <w:p>
      <w:pPr>
        <w:autoSpaceDE w:val="0"/>
        <w:autoSpaceDN w:val="0"/>
        <w:adjustRightInd w:val="0"/>
        <w:spacing w:line="360" w:lineRule="auto"/>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3、国有资产占用情况</w:t>
      </w:r>
    </w:p>
    <w:p>
      <w:pPr>
        <w:autoSpaceDE w:val="0"/>
        <w:autoSpaceDN w:val="0"/>
        <w:adjustRightInd w:val="0"/>
        <w:spacing w:line="360" w:lineRule="auto"/>
        <w:ind w:firstLine="420"/>
        <w:rPr>
          <w:rFonts w:hint="eastAsia" w:ascii="宋体" w:hAnsi="宋体" w:eastAsia="宋体" w:cs="宋体"/>
          <w:kern w:val="0"/>
          <w:sz w:val="20"/>
          <w:szCs w:val="20"/>
        </w:rPr>
      </w:pPr>
      <w:r>
        <w:rPr>
          <w:rFonts w:hint="eastAsia" w:ascii="宋体" w:hAnsi="宋体" w:eastAsia="宋体" w:cs="宋体"/>
          <w:kern w:val="0"/>
          <w:sz w:val="20"/>
          <w:szCs w:val="20"/>
        </w:rPr>
        <w:t>截止2017年底，</w:t>
      </w:r>
      <w:r>
        <w:rPr>
          <w:rFonts w:hint="eastAsia" w:ascii="宋体" w:hAnsi="宋体" w:eastAsia="宋体" w:cs="宋体"/>
          <w:kern w:val="0"/>
          <w:sz w:val="20"/>
          <w:szCs w:val="20"/>
          <w:lang w:eastAsia="zh-CN"/>
        </w:rPr>
        <w:t>市残联</w:t>
      </w:r>
      <w:r>
        <w:rPr>
          <w:rFonts w:hint="eastAsia" w:ascii="宋体" w:hAnsi="宋体" w:eastAsia="宋体" w:cs="宋体"/>
          <w:kern w:val="0"/>
          <w:sz w:val="20"/>
          <w:szCs w:val="20"/>
        </w:rPr>
        <w:t>本级及所属各预算单位资产合计</w:t>
      </w:r>
      <w:r>
        <w:rPr>
          <w:rFonts w:hint="eastAsia" w:ascii="宋体" w:hAnsi="宋体" w:eastAsia="宋体" w:cs="宋体"/>
          <w:kern w:val="0"/>
          <w:sz w:val="20"/>
          <w:szCs w:val="20"/>
          <w:lang w:val="en-US" w:eastAsia="zh-CN"/>
        </w:rPr>
        <w:t>14933.93</w:t>
      </w:r>
      <w:r>
        <w:rPr>
          <w:rFonts w:hint="eastAsia" w:ascii="宋体" w:hAnsi="宋体" w:eastAsia="宋体" w:cs="宋体"/>
          <w:kern w:val="0"/>
          <w:sz w:val="20"/>
          <w:szCs w:val="20"/>
        </w:rPr>
        <w:t>万元，比上年</w:t>
      </w:r>
      <w:r>
        <w:rPr>
          <w:rFonts w:hint="eastAsia" w:ascii="宋体" w:hAnsi="宋体" w:eastAsia="宋体" w:cs="宋体"/>
          <w:kern w:val="0"/>
          <w:sz w:val="20"/>
          <w:szCs w:val="20"/>
          <w:lang w:val="en-US" w:eastAsia="zh-CN"/>
        </w:rPr>
        <w:t>13783.65万元</w:t>
      </w:r>
      <w:r>
        <w:rPr>
          <w:rFonts w:hint="eastAsia" w:ascii="宋体" w:hAnsi="宋体" w:eastAsia="宋体" w:cs="宋体"/>
          <w:kern w:val="0"/>
          <w:sz w:val="20"/>
          <w:szCs w:val="20"/>
        </w:rPr>
        <w:t>增</w:t>
      </w:r>
      <w:r>
        <w:rPr>
          <w:rFonts w:hint="eastAsia" w:ascii="宋体" w:hAnsi="宋体" w:eastAsia="宋体" w:cs="宋体"/>
          <w:kern w:val="0"/>
          <w:sz w:val="20"/>
          <w:szCs w:val="20"/>
          <w:lang w:eastAsia="zh-CN"/>
        </w:rPr>
        <w:t>加</w:t>
      </w:r>
      <w:r>
        <w:rPr>
          <w:rFonts w:hint="eastAsia" w:ascii="宋体" w:hAnsi="宋体" w:eastAsia="宋体" w:cs="宋体"/>
          <w:kern w:val="0"/>
          <w:sz w:val="20"/>
          <w:szCs w:val="20"/>
          <w:lang w:val="en-US" w:eastAsia="zh-CN"/>
        </w:rPr>
        <w:t>1150.28万元，增</w:t>
      </w:r>
      <w:r>
        <w:rPr>
          <w:rFonts w:hint="eastAsia" w:ascii="宋体" w:hAnsi="宋体" w:eastAsia="宋体" w:cs="宋体"/>
          <w:kern w:val="0"/>
          <w:sz w:val="20"/>
          <w:szCs w:val="20"/>
        </w:rPr>
        <w:t>长</w:t>
      </w:r>
      <w:r>
        <w:rPr>
          <w:rFonts w:hint="eastAsia" w:ascii="宋体" w:hAnsi="宋体" w:eastAsia="宋体" w:cs="宋体"/>
          <w:kern w:val="0"/>
          <w:sz w:val="20"/>
          <w:szCs w:val="20"/>
          <w:lang w:val="en-US" w:eastAsia="zh-CN"/>
        </w:rPr>
        <w:t>8.35</w:t>
      </w:r>
      <w:r>
        <w:rPr>
          <w:rFonts w:hint="eastAsia" w:ascii="宋体" w:hAnsi="宋体" w:eastAsia="宋体" w:cs="宋体"/>
          <w:kern w:val="0"/>
          <w:sz w:val="20"/>
          <w:szCs w:val="20"/>
        </w:rPr>
        <w:t>%，主要原因是</w:t>
      </w:r>
      <w:r>
        <w:rPr>
          <w:rFonts w:hint="eastAsia" w:ascii="宋体" w:hAnsi="宋体" w:eastAsia="宋体" w:cs="宋体"/>
          <w:kern w:val="0"/>
          <w:sz w:val="20"/>
          <w:szCs w:val="20"/>
          <w:lang w:eastAsia="zh-CN"/>
        </w:rPr>
        <w:t>基建工程项目进度推进用款，在建工程累计支出增加</w:t>
      </w:r>
      <w:r>
        <w:rPr>
          <w:rFonts w:hint="eastAsia" w:ascii="宋体" w:hAnsi="宋体" w:eastAsia="宋体" w:cs="宋体"/>
          <w:kern w:val="0"/>
          <w:sz w:val="20"/>
          <w:szCs w:val="20"/>
        </w:rPr>
        <w:t>。其中：流动资产</w:t>
      </w:r>
      <w:r>
        <w:rPr>
          <w:rFonts w:hint="eastAsia" w:ascii="宋体" w:hAnsi="宋体" w:eastAsia="宋体" w:cs="宋体"/>
          <w:kern w:val="0"/>
          <w:sz w:val="20"/>
          <w:szCs w:val="20"/>
          <w:lang w:val="en-US" w:eastAsia="zh-CN"/>
        </w:rPr>
        <w:t>49.21</w:t>
      </w:r>
      <w:r>
        <w:rPr>
          <w:rFonts w:hint="eastAsia" w:ascii="宋体" w:hAnsi="宋体" w:eastAsia="宋体" w:cs="宋体"/>
          <w:kern w:val="0"/>
          <w:sz w:val="20"/>
          <w:szCs w:val="20"/>
        </w:rPr>
        <w:t>万元，占总资产的</w:t>
      </w:r>
      <w:r>
        <w:rPr>
          <w:rFonts w:hint="eastAsia" w:ascii="宋体" w:hAnsi="宋体" w:eastAsia="宋体" w:cs="宋体"/>
          <w:kern w:val="0"/>
          <w:sz w:val="20"/>
          <w:szCs w:val="20"/>
          <w:lang w:val="en-US" w:eastAsia="zh-CN"/>
        </w:rPr>
        <w:t>0.33</w:t>
      </w:r>
      <w:r>
        <w:rPr>
          <w:rFonts w:hint="eastAsia" w:ascii="宋体" w:hAnsi="宋体" w:eastAsia="宋体" w:cs="宋体"/>
          <w:kern w:val="0"/>
          <w:sz w:val="20"/>
          <w:szCs w:val="20"/>
        </w:rPr>
        <w:t>%；固定资产</w:t>
      </w:r>
      <w:r>
        <w:rPr>
          <w:rFonts w:hint="eastAsia" w:ascii="宋体" w:hAnsi="宋体" w:eastAsia="宋体" w:cs="宋体"/>
          <w:kern w:val="0"/>
          <w:sz w:val="20"/>
          <w:szCs w:val="20"/>
          <w:lang w:val="en-US" w:eastAsia="zh-CN"/>
        </w:rPr>
        <w:t>71.21</w:t>
      </w:r>
      <w:r>
        <w:rPr>
          <w:rFonts w:hint="eastAsia" w:ascii="宋体" w:hAnsi="宋体" w:eastAsia="宋体" w:cs="宋体"/>
          <w:kern w:val="0"/>
          <w:sz w:val="20"/>
          <w:szCs w:val="20"/>
        </w:rPr>
        <w:t>万元，占总资产的</w:t>
      </w:r>
      <w:r>
        <w:rPr>
          <w:rFonts w:hint="eastAsia" w:ascii="宋体" w:hAnsi="宋体" w:eastAsia="宋体" w:cs="宋体"/>
          <w:kern w:val="0"/>
          <w:sz w:val="20"/>
          <w:szCs w:val="20"/>
          <w:lang w:val="en-US" w:eastAsia="zh-CN"/>
        </w:rPr>
        <w:t>0.48</w:t>
      </w:r>
      <w:r>
        <w:rPr>
          <w:rFonts w:hint="eastAsia" w:ascii="宋体" w:hAnsi="宋体" w:eastAsia="宋体" w:cs="宋体"/>
          <w:kern w:val="0"/>
          <w:sz w:val="20"/>
          <w:szCs w:val="20"/>
        </w:rPr>
        <w:t>%；在建工程</w:t>
      </w:r>
      <w:r>
        <w:rPr>
          <w:rFonts w:hint="eastAsia" w:ascii="宋体" w:hAnsi="宋体" w:eastAsia="宋体" w:cs="宋体"/>
          <w:kern w:val="0"/>
          <w:sz w:val="20"/>
          <w:szCs w:val="20"/>
          <w:lang w:val="en-US" w:eastAsia="zh-CN"/>
        </w:rPr>
        <w:t>14813.50</w:t>
      </w:r>
      <w:r>
        <w:rPr>
          <w:rFonts w:hint="eastAsia" w:ascii="宋体" w:hAnsi="宋体" w:eastAsia="宋体" w:cs="宋体"/>
          <w:kern w:val="0"/>
          <w:sz w:val="20"/>
          <w:szCs w:val="20"/>
        </w:rPr>
        <w:t>万元，占总资产的</w:t>
      </w:r>
      <w:r>
        <w:rPr>
          <w:rFonts w:hint="eastAsia" w:ascii="宋体" w:hAnsi="宋体" w:eastAsia="宋体" w:cs="宋体"/>
          <w:kern w:val="0"/>
          <w:sz w:val="20"/>
          <w:szCs w:val="20"/>
          <w:lang w:val="en-US" w:eastAsia="zh-CN"/>
        </w:rPr>
        <w:t>99.19</w:t>
      </w:r>
      <w:r>
        <w:rPr>
          <w:rFonts w:hint="eastAsia" w:ascii="宋体" w:hAnsi="宋体" w:eastAsia="宋体" w:cs="宋体"/>
          <w:kern w:val="0"/>
          <w:sz w:val="20"/>
          <w:szCs w:val="20"/>
        </w:rPr>
        <w:t>%。固定资产含：车辆</w:t>
      </w: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辆，其中:一般公务用车</w:t>
      </w: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辆、一般执法执勤用车</w:t>
      </w: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辆、特种专业技术用车</w:t>
      </w: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辆、其他用车</w:t>
      </w: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辆；单位价值50万元（含）以上通用设备</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套（台）; 单位价值100万元（含）以上专用设备</w:t>
      </w: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套（台）。</w:t>
      </w:r>
    </w:p>
    <w:p>
      <w:pPr>
        <w:numPr>
          <w:ilvl w:val="0"/>
          <w:numId w:val="1"/>
        </w:numPr>
        <w:autoSpaceDE w:val="0"/>
        <w:autoSpaceDN w:val="0"/>
        <w:adjustRightInd w:val="0"/>
        <w:spacing w:line="360" w:lineRule="auto"/>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绩效评价结果情况</w:t>
      </w:r>
    </w:p>
    <w:p>
      <w:pPr>
        <w:numPr>
          <w:ilvl w:val="0"/>
          <w:numId w:val="0"/>
        </w:numPr>
        <w:autoSpaceDE w:val="0"/>
        <w:autoSpaceDN w:val="0"/>
        <w:adjustRightInd w:val="0"/>
        <w:spacing w:line="360" w:lineRule="auto"/>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2017年度本部门由财政部门组织开展的绩效评价项目</w:t>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个</w:t>
      </w:r>
    </w:p>
    <w:p>
      <w:pPr>
        <w:autoSpaceDE w:val="0"/>
        <w:autoSpaceDN w:val="0"/>
        <w:adjustRightInd w:val="0"/>
        <w:spacing w:line="360" w:lineRule="auto"/>
        <w:ind w:firstLine="360" w:firstLineChars="150"/>
        <w:jc w:val="left"/>
        <w:rPr>
          <w:rFonts w:hint="eastAsia" w:ascii="宋体" w:hAnsi="宋体" w:eastAsia="宋体" w:cs="宋体"/>
          <w:kern w:val="0"/>
          <w:sz w:val="24"/>
          <w:szCs w:val="24"/>
        </w:rPr>
      </w:pPr>
      <w:r>
        <w:rPr>
          <w:rFonts w:hint="eastAsia" w:ascii="宋体" w:hAnsi="宋体" w:eastAsia="宋体" w:cs="宋体"/>
          <w:kern w:val="0"/>
          <w:sz w:val="24"/>
          <w:szCs w:val="24"/>
        </w:rPr>
        <w:t>(1)部门开展的绩效自评情况。</w:t>
      </w:r>
    </w:p>
    <w:p>
      <w:pPr>
        <w:autoSpaceDE w:val="0"/>
        <w:autoSpaceDN w:val="0"/>
        <w:adjustRightInd w:val="0"/>
        <w:spacing w:line="360" w:lineRule="auto"/>
        <w:ind w:firstLine="400" w:firstLineChars="200"/>
        <w:jc w:val="left"/>
        <w:rPr>
          <w:rFonts w:hint="eastAsia" w:ascii="宋体" w:hAnsi="宋体" w:eastAsia="宋体" w:cs="宋体"/>
          <w:kern w:val="0"/>
          <w:sz w:val="20"/>
          <w:szCs w:val="20"/>
        </w:rPr>
      </w:pPr>
      <w:r>
        <w:rPr>
          <w:rFonts w:hint="eastAsia" w:ascii="宋体" w:hAnsi="宋体" w:eastAsia="宋体" w:cs="宋体"/>
          <w:kern w:val="0"/>
          <w:sz w:val="20"/>
          <w:szCs w:val="20"/>
        </w:rPr>
        <w:t>根据预算管理要求，本部门组织对2017年度一般公共预算项目支出开展了绩效自评，自评项目</w:t>
      </w:r>
      <w:r>
        <w:rPr>
          <w:rFonts w:hint="eastAsia" w:ascii="宋体" w:hAnsi="宋体" w:eastAsia="宋体" w:cs="宋体"/>
          <w:kern w:val="0"/>
          <w:sz w:val="20"/>
          <w:szCs w:val="20"/>
          <w:lang w:val="en-US" w:eastAsia="zh-CN"/>
        </w:rPr>
        <w:t>22</w:t>
      </w:r>
      <w:r>
        <w:rPr>
          <w:rFonts w:hint="eastAsia" w:ascii="宋体" w:hAnsi="宋体" w:eastAsia="宋体" w:cs="宋体"/>
          <w:kern w:val="0"/>
          <w:sz w:val="20"/>
          <w:szCs w:val="20"/>
        </w:rPr>
        <w:t>个，共涉及资金</w:t>
      </w:r>
      <w:r>
        <w:rPr>
          <w:rFonts w:hint="eastAsia" w:ascii="宋体" w:hAnsi="宋体" w:eastAsia="宋体" w:cs="宋体"/>
          <w:kern w:val="0"/>
          <w:sz w:val="20"/>
          <w:szCs w:val="20"/>
          <w:lang w:val="en-US" w:eastAsia="zh-CN"/>
        </w:rPr>
        <w:t>2345.5</w:t>
      </w:r>
      <w:r>
        <w:rPr>
          <w:rFonts w:hint="eastAsia" w:ascii="宋体" w:hAnsi="宋体" w:eastAsia="宋体" w:cs="宋体"/>
          <w:kern w:val="0"/>
          <w:sz w:val="20"/>
          <w:szCs w:val="20"/>
        </w:rPr>
        <w:t>万元，占项目支出预算总额的</w:t>
      </w:r>
      <w:r>
        <w:rPr>
          <w:rFonts w:hint="eastAsia" w:ascii="宋体" w:hAnsi="宋体" w:eastAsia="宋体" w:cs="宋体"/>
          <w:kern w:val="0"/>
          <w:sz w:val="20"/>
          <w:szCs w:val="20"/>
          <w:lang w:val="en-US" w:eastAsia="zh-CN"/>
        </w:rPr>
        <w:t>61.76</w:t>
      </w:r>
      <w:r>
        <w:rPr>
          <w:rFonts w:hint="eastAsia" w:ascii="宋体" w:hAnsi="宋体" w:eastAsia="宋体" w:cs="宋体"/>
          <w:kern w:val="0"/>
          <w:sz w:val="20"/>
          <w:szCs w:val="20"/>
        </w:rPr>
        <w:t>%。绩效评价结果显示，自评结果为优秀</w:t>
      </w:r>
      <w:r>
        <w:rPr>
          <w:rFonts w:hint="eastAsia" w:ascii="宋体" w:hAnsi="宋体" w:eastAsia="宋体" w:cs="宋体"/>
          <w:kern w:val="0"/>
          <w:sz w:val="20"/>
          <w:szCs w:val="20"/>
          <w:lang w:val="en-US" w:eastAsia="zh-CN"/>
        </w:rPr>
        <w:t>20</w:t>
      </w:r>
      <w:r>
        <w:rPr>
          <w:rFonts w:hint="eastAsia" w:ascii="宋体" w:hAnsi="宋体" w:eastAsia="宋体" w:cs="宋体"/>
          <w:kern w:val="0"/>
          <w:sz w:val="20"/>
          <w:szCs w:val="20"/>
        </w:rPr>
        <w:t>个，良好</w:t>
      </w:r>
      <w:r>
        <w:rPr>
          <w:rFonts w:hint="eastAsia" w:ascii="宋体" w:hAnsi="宋体" w:eastAsia="宋体" w:cs="宋体"/>
          <w:sz w:val="20"/>
          <w:szCs w:val="20"/>
          <w:lang w:val="en-US" w:eastAsia="zh-CN"/>
        </w:rPr>
        <w:t>0</w:t>
      </w:r>
      <w:r>
        <w:rPr>
          <w:rFonts w:hint="eastAsia" w:ascii="宋体" w:hAnsi="宋体" w:eastAsia="宋体" w:cs="宋体"/>
          <w:kern w:val="0"/>
          <w:sz w:val="20"/>
          <w:szCs w:val="20"/>
        </w:rPr>
        <w:t>个，一般</w:t>
      </w:r>
      <w:r>
        <w:rPr>
          <w:rFonts w:hint="eastAsia" w:ascii="宋体" w:hAnsi="宋体" w:eastAsia="宋体" w:cs="宋体"/>
          <w:sz w:val="20"/>
          <w:szCs w:val="20"/>
          <w:lang w:val="en-US" w:eastAsia="zh-CN"/>
        </w:rPr>
        <w:t>0</w:t>
      </w:r>
      <w:r>
        <w:rPr>
          <w:rFonts w:hint="eastAsia" w:ascii="宋体" w:hAnsi="宋体" w:eastAsia="宋体" w:cs="宋体"/>
          <w:kern w:val="0"/>
          <w:sz w:val="20"/>
          <w:szCs w:val="20"/>
        </w:rPr>
        <w:t>个，较差</w:t>
      </w:r>
      <w:r>
        <w:rPr>
          <w:rFonts w:hint="eastAsia" w:ascii="宋体" w:hAnsi="宋体" w:eastAsia="宋体" w:cs="宋体"/>
          <w:sz w:val="20"/>
          <w:szCs w:val="20"/>
          <w:lang w:val="en-US" w:eastAsia="zh-CN"/>
        </w:rPr>
        <w:t>2</w:t>
      </w:r>
      <w:r>
        <w:rPr>
          <w:rFonts w:hint="eastAsia" w:ascii="宋体" w:hAnsi="宋体" w:eastAsia="宋体" w:cs="宋体"/>
          <w:kern w:val="0"/>
          <w:sz w:val="20"/>
          <w:szCs w:val="20"/>
        </w:rPr>
        <w:t>个。</w:t>
      </w:r>
    </w:p>
    <w:p>
      <w:pPr>
        <w:autoSpaceDE w:val="0"/>
        <w:autoSpaceDN w:val="0"/>
        <w:adjustRightInd w:val="0"/>
        <w:spacing w:line="360" w:lineRule="auto"/>
        <w:ind w:firstLine="360" w:firstLineChars="150"/>
        <w:jc w:val="left"/>
        <w:rPr>
          <w:rFonts w:hint="eastAsia" w:ascii="宋体" w:hAnsi="宋体" w:eastAsia="宋体" w:cs="宋体"/>
          <w:kern w:val="0"/>
          <w:sz w:val="24"/>
          <w:szCs w:val="24"/>
        </w:rPr>
      </w:pPr>
      <w:r>
        <w:rPr>
          <w:rFonts w:hint="eastAsia" w:ascii="宋体" w:hAnsi="宋体" w:eastAsia="宋体" w:cs="宋体"/>
          <w:kern w:val="0"/>
          <w:sz w:val="24"/>
          <w:szCs w:val="24"/>
        </w:rPr>
        <w:t>(2)财政部门组织开展的绩效评价情况</w:t>
      </w:r>
    </w:p>
    <w:p>
      <w:pPr>
        <w:spacing w:line="360" w:lineRule="auto"/>
        <w:ind w:firstLine="400" w:firstLineChars="200"/>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2</w:t>
      </w:r>
      <w:r>
        <w:rPr>
          <w:rFonts w:hint="eastAsia" w:ascii="宋体" w:hAnsi="宋体" w:eastAsia="宋体" w:cs="宋体"/>
          <w:kern w:val="0"/>
          <w:sz w:val="20"/>
          <w:szCs w:val="20"/>
          <w:lang w:val="en-US" w:eastAsia="zh-CN"/>
        </w:rPr>
        <w:t>017年度本部门由财政部门组织开展的绩效评价项目2个，支出金额共计81.66万元。其中：评价结果等次为优秀的项目0个。评价等次为良好的项目1个，该项目为：残疾人教育培训经费（残保金）项目,支出45.76万元，项目资金主要用于组织开展免费的职业指导、职业介绍和职业培训，为残疾人就业和用人单位招用残疾人提供服务和帮助为盲人开展盲人培训（包括盲人讲座、医疗考前、医疗继续培训、盲人保健按摩培训）。评价结果等次为一般的项目1个，该项目为：残疾人体育经费（残保金）项目,支出35.90万元，项目资金主要用于举办残疾人健身活动周活动、举办2017温州市残疾人体育锦标赛、举办特奥家长培训和省体训中心温籍残疾人运动员训练补贴发放。评价结果等次为差的项目0个。</w:t>
      </w:r>
    </w:p>
    <w:p>
      <w:pPr>
        <w:autoSpaceDE w:val="0"/>
        <w:autoSpaceDN w:val="0"/>
        <w:adjustRightIn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（十）其他需要公开的事项</w:t>
      </w:r>
    </w:p>
    <w:p>
      <w:pPr>
        <w:spacing w:line="360" w:lineRule="auto"/>
        <w:ind w:firstLine="600" w:firstLineChars="30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无</w:t>
      </w:r>
    </w:p>
    <w:p>
      <w:pPr>
        <w:spacing w:line="360" w:lineRule="auto"/>
        <w:rPr>
          <w:rFonts w:hint="eastAsia" w:ascii="宋体" w:hAnsi="宋体" w:eastAsia="宋体" w:cs="宋体"/>
          <w:bCs/>
          <w:sz w:val="24"/>
          <w:szCs w:val="24"/>
        </w:rPr>
      </w:pPr>
      <w:r>
        <w:rPr>
          <w:rFonts w:hint="eastAsia" w:ascii="宋体" w:hAnsi="宋体" w:eastAsia="宋体" w:cs="宋体"/>
          <w:color w:val="000000"/>
          <w:sz w:val="24"/>
          <w:szCs w:val="24"/>
        </w:rPr>
        <w:t>四、名词解释</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w:t>
      </w:r>
      <w:r>
        <w:rPr>
          <w:rFonts w:hint="eastAsia" w:ascii="仿宋_GB2312" w:eastAsia="仿宋_GB2312"/>
          <w:color w:val="auto"/>
          <w:sz w:val="21"/>
          <w:szCs w:val="21"/>
        </w:rPr>
        <w:t>财政拨款收入：从同级财政部门取得的财政预算资金，包括公共预算财政拨款和政府性基金预算财政拨款。</w:t>
      </w:r>
    </w:p>
    <w:p>
      <w:pPr>
        <w:spacing w:line="360" w:lineRule="auto"/>
        <w:ind w:firstLine="645"/>
        <w:rPr>
          <w:rFonts w:ascii="黑体" w:hAnsi="黑体" w:eastAsia="黑体"/>
          <w:color w:val="auto"/>
          <w:sz w:val="21"/>
          <w:szCs w:val="21"/>
        </w:rPr>
      </w:pPr>
      <w:r>
        <w:rPr>
          <w:rFonts w:ascii="仿宋_GB2312" w:eastAsia="仿宋_GB2312"/>
          <w:color w:val="auto"/>
          <w:sz w:val="21"/>
          <w:szCs w:val="21"/>
        </w:rPr>
        <w:t>2.</w:t>
      </w:r>
      <w:r>
        <w:rPr>
          <w:rFonts w:hint="eastAsia" w:ascii="仿宋_GB2312" w:eastAsia="仿宋_GB2312"/>
          <w:color w:val="auto"/>
          <w:sz w:val="21"/>
          <w:szCs w:val="21"/>
        </w:rPr>
        <w:t>其他收入：预算单位在“财政拨款”、“事业收入”、“经营收入”、“附属单位上缴收入”等之外取得的各项收入。</w:t>
      </w:r>
    </w:p>
    <w:p>
      <w:pPr>
        <w:spacing w:line="360" w:lineRule="auto"/>
        <w:ind w:firstLine="645"/>
        <w:rPr>
          <w:rFonts w:ascii="黑体" w:hAnsi="黑体" w:eastAsia="黑体"/>
          <w:color w:val="auto"/>
          <w:sz w:val="21"/>
          <w:szCs w:val="21"/>
        </w:rPr>
      </w:pPr>
      <w:r>
        <w:rPr>
          <w:rFonts w:ascii="仿宋_GB2312" w:eastAsia="仿宋_GB2312"/>
          <w:color w:val="auto"/>
          <w:sz w:val="21"/>
          <w:szCs w:val="21"/>
        </w:rPr>
        <w:t>3.</w:t>
      </w:r>
      <w:r>
        <w:rPr>
          <w:rFonts w:hint="eastAsia" w:ascii="仿宋_GB2312" w:eastAsia="仿宋_GB2312"/>
          <w:color w:val="auto"/>
          <w:sz w:val="21"/>
          <w:szCs w:val="21"/>
        </w:rPr>
        <w:t>年初结转和结余：预算单位以前年度尚未完成、结转到本年仍按原规定用途继续使用的资金，或项目已完成等产生的结余资金。</w:t>
      </w:r>
    </w:p>
    <w:p>
      <w:pPr>
        <w:spacing w:line="360" w:lineRule="auto"/>
        <w:ind w:firstLine="645"/>
        <w:rPr>
          <w:rFonts w:ascii="黑体" w:hAnsi="黑体" w:eastAsia="黑体"/>
          <w:color w:val="auto"/>
          <w:sz w:val="21"/>
          <w:szCs w:val="21"/>
        </w:rPr>
      </w:pPr>
      <w:r>
        <w:rPr>
          <w:rFonts w:ascii="仿宋_GB2312" w:eastAsia="仿宋_GB2312"/>
          <w:color w:val="auto"/>
          <w:sz w:val="21"/>
          <w:szCs w:val="21"/>
        </w:rPr>
        <w:t>4.</w:t>
      </w:r>
      <w:r>
        <w:rPr>
          <w:rFonts w:hint="eastAsia" w:ascii="仿宋_GB2312" w:eastAsia="仿宋_GB2312"/>
          <w:color w:val="auto"/>
          <w:sz w:val="21"/>
          <w:szCs w:val="21"/>
        </w:rPr>
        <w:t>年末结转和结余：预算单位本年底前的收入预算未执行完毕，需结转下年度按照原用途继续使用的资金，或项目已完成等产生的结余资金。</w:t>
      </w:r>
    </w:p>
    <w:p>
      <w:pPr>
        <w:spacing w:line="360" w:lineRule="auto"/>
        <w:ind w:firstLine="645"/>
        <w:rPr>
          <w:rFonts w:ascii="黑体" w:hAnsi="黑体" w:eastAsia="黑体"/>
          <w:color w:val="auto"/>
          <w:sz w:val="21"/>
          <w:szCs w:val="21"/>
        </w:rPr>
      </w:pPr>
      <w:r>
        <w:rPr>
          <w:rFonts w:ascii="仿宋_GB2312" w:eastAsia="仿宋_GB2312"/>
          <w:color w:val="auto"/>
          <w:sz w:val="21"/>
          <w:szCs w:val="21"/>
        </w:rPr>
        <w:t>5.</w:t>
      </w:r>
      <w:r>
        <w:rPr>
          <w:rFonts w:hint="eastAsia" w:ascii="仿宋_GB2312" w:eastAsia="仿宋_GB2312"/>
          <w:color w:val="auto"/>
          <w:sz w:val="21"/>
          <w:szCs w:val="21"/>
        </w:rPr>
        <w:t>基本支出：是预算单位为保障其正常运转，完成日常工作任务所发生的支出，包括人员支出和日常公用支出。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6.</w:t>
      </w:r>
      <w:r>
        <w:rPr>
          <w:rFonts w:hint="eastAsia" w:ascii="仿宋_GB2312" w:eastAsia="仿宋_GB2312"/>
          <w:color w:val="auto"/>
          <w:sz w:val="21"/>
          <w:szCs w:val="21"/>
        </w:rPr>
        <w:t>项目支出：是预算单位为完成其特定的行政工作任务或事业发展目标所发生的支出。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7.</w:t>
      </w:r>
      <w:r>
        <w:rPr>
          <w:rFonts w:hint="eastAsia" w:ascii="仿宋_GB2312" w:eastAsia="仿宋_GB2312"/>
          <w:color w:val="auto"/>
          <w:sz w:val="21"/>
          <w:szCs w:val="21"/>
        </w:rPr>
        <w:t>因公出国（境）费用：反映单位公务出国（境）的国际旅费、国外城市间交通费、住宿费、伙食费、培训费、公杂费等支出。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8.</w:t>
      </w:r>
      <w:r>
        <w:rPr>
          <w:rFonts w:hint="eastAsia" w:ascii="仿宋_GB2312" w:eastAsia="仿宋_GB2312"/>
          <w:color w:val="auto"/>
          <w:sz w:val="21"/>
          <w:szCs w:val="21"/>
        </w:rPr>
        <w:t>公务接待费：反映单位按规定开支的各类公务接待（含外宾接待）费用。</w:t>
      </w:r>
    </w:p>
    <w:p>
      <w:pPr>
        <w:spacing w:line="360" w:lineRule="auto"/>
        <w:ind w:firstLine="645"/>
        <w:rPr>
          <w:rFonts w:ascii="黑体" w:hAnsi="黑体" w:eastAsia="黑体"/>
          <w:color w:val="auto"/>
          <w:sz w:val="21"/>
          <w:szCs w:val="21"/>
        </w:rPr>
      </w:pPr>
      <w:r>
        <w:rPr>
          <w:rFonts w:ascii="仿宋_GB2312" w:eastAsia="仿宋_GB2312"/>
          <w:color w:val="auto"/>
          <w:sz w:val="21"/>
          <w:szCs w:val="21"/>
        </w:rPr>
        <w:t>9.</w:t>
      </w:r>
      <w:r>
        <w:rPr>
          <w:rFonts w:hint="eastAsia" w:ascii="仿宋_GB2312" w:eastAsia="仿宋_GB2312"/>
          <w:color w:val="auto"/>
          <w:sz w:val="21"/>
          <w:szCs w:val="21"/>
        </w:rPr>
        <w:t>公务用车购置：反映公务用车车辆购置支出（含车辆购置税）。</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10.</w:t>
      </w:r>
      <w:r>
        <w:rPr>
          <w:rFonts w:hint="eastAsia" w:ascii="仿宋_GB2312" w:eastAsia="仿宋_GB2312"/>
          <w:color w:val="auto"/>
          <w:sz w:val="21"/>
          <w:szCs w:val="21"/>
        </w:rPr>
        <w:t>公务用车运行维护费：反映按规定保留的公务用车燃料费、维修费、过桥过路费、保险费、安全奖励费用等支出。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11.</w:t>
      </w:r>
      <w:r>
        <w:rPr>
          <w:rFonts w:hint="eastAsia" w:ascii="仿宋_GB2312" w:eastAsia="仿宋_GB2312"/>
          <w:color w:val="auto"/>
          <w:sz w:val="21"/>
          <w:szCs w:val="21"/>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12.</w:t>
      </w:r>
      <w:r>
        <w:rPr>
          <w:rFonts w:hint="eastAsia" w:ascii="仿宋_GB2312" w:eastAsia="仿宋_GB2312"/>
          <w:color w:val="auto"/>
          <w:sz w:val="21"/>
          <w:szCs w:val="21"/>
        </w:rPr>
        <w:t>流动资产：是指一年以内变现或耗用的资产，包括库存现金、银行存款、零余额用款额度、财政应返还额度、应收及预付款项、存货等。</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13.</w:t>
      </w:r>
      <w:r>
        <w:rPr>
          <w:rFonts w:hint="eastAsia" w:ascii="仿宋_GB2312" w:eastAsia="仿宋_GB2312"/>
          <w:color w:val="auto"/>
          <w:sz w:val="21"/>
          <w:szCs w:val="21"/>
        </w:rPr>
        <w:t>固定资产：是指使用期限超过</w:t>
      </w:r>
      <w:r>
        <w:rPr>
          <w:rFonts w:ascii="仿宋_GB2312" w:eastAsia="仿宋_GB2312"/>
          <w:color w:val="auto"/>
          <w:sz w:val="21"/>
          <w:szCs w:val="21"/>
        </w:rPr>
        <w:t>1</w:t>
      </w:r>
      <w:r>
        <w:rPr>
          <w:rFonts w:hint="eastAsia" w:ascii="仿宋_GB2312" w:eastAsia="仿宋_GB2312"/>
          <w:color w:val="auto"/>
          <w:sz w:val="21"/>
          <w:szCs w:val="21"/>
        </w:rPr>
        <w:t>年（不含</w:t>
      </w:r>
      <w:r>
        <w:rPr>
          <w:rFonts w:ascii="仿宋_GB2312" w:eastAsia="仿宋_GB2312"/>
          <w:color w:val="auto"/>
          <w:sz w:val="21"/>
          <w:szCs w:val="21"/>
        </w:rPr>
        <w:t>1</w:t>
      </w:r>
      <w:r>
        <w:rPr>
          <w:rFonts w:hint="eastAsia" w:ascii="仿宋_GB2312" w:eastAsia="仿宋_GB2312"/>
          <w:color w:val="auto"/>
          <w:sz w:val="21"/>
          <w:szCs w:val="21"/>
        </w:rPr>
        <w:t>年），单位价值在规定标准以上，并且在使用过程中基本保持原有物质形态的资产。</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14.</w:t>
      </w:r>
      <w:r>
        <w:rPr>
          <w:rFonts w:hint="eastAsia" w:ascii="仿宋_GB2312" w:eastAsia="仿宋_GB2312"/>
          <w:color w:val="auto"/>
          <w:sz w:val="21"/>
          <w:szCs w:val="21"/>
        </w:rPr>
        <w:t>在建工程：是指单位已经发生必要支出，但尚未完工交付使用的各种建筑（包括新建、改建、扩建、修缮等）、设备安装工程和信息系统建设工程。</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15.</w:t>
      </w:r>
      <w:r>
        <w:rPr>
          <w:rFonts w:hint="eastAsia" w:ascii="仿宋_GB2312" w:eastAsia="仿宋_GB2312"/>
          <w:color w:val="auto"/>
          <w:sz w:val="21"/>
          <w:szCs w:val="21"/>
        </w:rPr>
        <w:t>无形资产：是指不具有实物形态而能为单位提供某种权利的非货币性资产。包括计算机软件、土地使用权、著作权、专利权、非专利技术等。</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16.</w:t>
      </w:r>
      <w:r>
        <w:rPr>
          <w:rFonts w:hint="eastAsia" w:ascii="仿宋_GB2312" w:eastAsia="仿宋_GB2312"/>
          <w:color w:val="auto"/>
          <w:sz w:val="21"/>
          <w:szCs w:val="21"/>
        </w:rPr>
        <w:t>社会保障和就业支出（类）残疾人事业（款）行政运行（项）：是指反映行政单位（包括实行公务员管理的事业单位）的基本支出。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17</w:t>
      </w:r>
      <w:r>
        <w:rPr>
          <w:rFonts w:hint="eastAsia" w:ascii="仿宋_GB2312" w:eastAsia="仿宋_GB2312"/>
          <w:color w:val="auto"/>
          <w:sz w:val="21"/>
          <w:szCs w:val="21"/>
        </w:rPr>
        <w:t>．社会保障和就业支出（类）残疾人事业（款）一般行政管理事务（项）：是指反映行政单位（包括实行公务员管理的事业单位）未单独设置项级科目的其他项目支出。</w:t>
      </w:r>
      <w:r>
        <w:rPr>
          <w:rFonts w:ascii="仿宋_GB2312" w:eastAsia="仿宋_GB2312"/>
          <w:color w:val="auto"/>
          <w:sz w:val="21"/>
          <w:szCs w:val="21"/>
        </w:rPr>
        <w:t xml:space="preserve">   </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18</w:t>
      </w:r>
      <w:r>
        <w:rPr>
          <w:rFonts w:hint="eastAsia" w:ascii="仿宋_GB2312" w:eastAsia="仿宋_GB2312"/>
          <w:color w:val="auto"/>
          <w:sz w:val="21"/>
          <w:szCs w:val="21"/>
        </w:rPr>
        <w:t>．社会保障和就业支出（类）残疾人事业（款）残疾人康复（项）：是指反映残疾人联合会用于残疾人康复事业方面的支出。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19</w:t>
      </w:r>
      <w:r>
        <w:rPr>
          <w:rFonts w:hint="eastAsia" w:ascii="仿宋_GB2312" w:eastAsia="仿宋_GB2312"/>
          <w:color w:val="auto"/>
          <w:sz w:val="21"/>
          <w:szCs w:val="21"/>
        </w:rPr>
        <w:t>．社会保障和就业支出（类）残疾人事业（款）残疾人体育（项）：是指反映残疾人联合会用于残疾人体育事业方面的支出。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20</w:t>
      </w:r>
      <w:r>
        <w:rPr>
          <w:rFonts w:hint="eastAsia" w:ascii="仿宋_GB2312" w:eastAsia="仿宋_GB2312"/>
          <w:color w:val="auto"/>
          <w:sz w:val="21"/>
          <w:szCs w:val="21"/>
        </w:rPr>
        <w:t>．社会保障和就业支出（类）残疾人事业（款）其他残疾人事业支出（项）：是指反映除上述项目以外其他用于残疾人事业方面的支出。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21</w:t>
      </w:r>
      <w:r>
        <w:rPr>
          <w:rFonts w:hint="eastAsia" w:ascii="仿宋_GB2312" w:eastAsia="仿宋_GB2312"/>
          <w:color w:val="auto"/>
          <w:sz w:val="21"/>
          <w:szCs w:val="21"/>
        </w:rPr>
        <w:t>．医疗卫生与计划生育支出（类）医疗保障（款）行政单位医疗（项）：是指主要用于本单位行政机关人员的基本医疗保险缴费经费。</w:t>
      </w:r>
    </w:p>
    <w:p>
      <w:pPr>
        <w:spacing w:line="360" w:lineRule="auto"/>
        <w:ind w:firstLine="645"/>
        <w:rPr>
          <w:rFonts w:ascii="黑体" w:hAnsi="黑体" w:eastAsia="黑体"/>
          <w:color w:val="auto"/>
          <w:sz w:val="21"/>
          <w:szCs w:val="21"/>
        </w:rPr>
      </w:pPr>
      <w:r>
        <w:rPr>
          <w:rFonts w:ascii="仿宋_GB2312" w:eastAsia="仿宋_GB2312"/>
          <w:color w:val="auto"/>
          <w:sz w:val="21"/>
          <w:szCs w:val="21"/>
        </w:rPr>
        <w:t>22</w:t>
      </w:r>
      <w:r>
        <w:rPr>
          <w:rFonts w:hint="eastAsia" w:ascii="仿宋_GB2312" w:eastAsia="仿宋_GB2312"/>
          <w:color w:val="auto"/>
          <w:sz w:val="21"/>
          <w:szCs w:val="21"/>
        </w:rPr>
        <w:t>．医疗卫生与计划生育支出（类）医疗保障（款）事业单位医疗（项）：是指主要用于本单位事业编制人员的基本医疗保险缴费经费。</w:t>
      </w:r>
    </w:p>
    <w:p>
      <w:pPr>
        <w:spacing w:line="360" w:lineRule="auto"/>
        <w:ind w:firstLine="645"/>
        <w:rPr>
          <w:rFonts w:ascii="黑体" w:hAnsi="黑体" w:eastAsia="黑体"/>
          <w:color w:val="auto"/>
          <w:sz w:val="21"/>
          <w:szCs w:val="21"/>
        </w:rPr>
      </w:pPr>
      <w:r>
        <w:rPr>
          <w:rFonts w:ascii="仿宋_GB2312" w:eastAsia="仿宋_GB2312"/>
          <w:color w:val="auto"/>
          <w:sz w:val="21"/>
          <w:szCs w:val="21"/>
        </w:rPr>
        <w:t>23</w:t>
      </w:r>
      <w:r>
        <w:rPr>
          <w:rFonts w:hint="eastAsia" w:ascii="仿宋_GB2312" w:eastAsia="仿宋_GB2312"/>
          <w:color w:val="auto"/>
          <w:sz w:val="21"/>
          <w:szCs w:val="21"/>
        </w:rPr>
        <w:t>．城乡社区支出（类）国有土地使用权出让收入及对应专项债务收入安排的支出（款）其他国有土地使用权出让收入安排的支出（项）：是指反映土地出让收入用于其他方面的支出。不包括市县级政府当年按规定用土地出让收入向中央和省级政府缴纳的新增建设用地土地有偿使用费的支出。</w:t>
      </w:r>
    </w:p>
    <w:p>
      <w:pPr>
        <w:spacing w:line="360" w:lineRule="auto"/>
        <w:ind w:firstLine="645"/>
        <w:rPr>
          <w:rFonts w:ascii="黑体" w:hAnsi="黑体" w:eastAsia="黑体"/>
          <w:color w:val="auto"/>
          <w:sz w:val="21"/>
          <w:szCs w:val="21"/>
        </w:rPr>
      </w:pPr>
      <w:r>
        <w:rPr>
          <w:rFonts w:ascii="仿宋_GB2312" w:eastAsia="仿宋_GB2312"/>
          <w:color w:val="auto"/>
          <w:sz w:val="21"/>
          <w:szCs w:val="21"/>
        </w:rPr>
        <w:t>24</w:t>
      </w:r>
      <w:r>
        <w:rPr>
          <w:rFonts w:hint="eastAsia" w:ascii="仿宋_GB2312" w:eastAsia="仿宋_GB2312"/>
          <w:color w:val="auto"/>
          <w:sz w:val="21"/>
          <w:szCs w:val="21"/>
        </w:rPr>
        <w:t>．住房保障支出（类）住房改革支出（款）住房公积金（项）：是指主要用于本单位按人力资源和社会保障部、财政部规定的基本工资和津贴补贴以及规定比例为职工缴纳的住房公积金。</w:t>
      </w:r>
    </w:p>
    <w:p>
      <w:pPr>
        <w:spacing w:line="360" w:lineRule="auto"/>
        <w:ind w:firstLine="645"/>
        <w:rPr>
          <w:rFonts w:ascii="黑体" w:hAnsi="黑体" w:eastAsia="黑体"/>
          <w:color w:val="auto"/>
          <w:sz w:val="21"/>
          <w:szCs w:val="21"/>
        </w:rPr>
      </w:pPr>
      <w:r>
        <w:rPr>
          <w:rFonts w:ascii="仿宋_GB2312" w:eastAsia="仿宋_GB2312"/>
          <w:color w:val="auto"/>
          <w:sz w:val="21"/>
          <w:szCs w:val="21"/>
        </w:rPr>
        <w:t>25</w:t>
      </w:r>
      <w:r>
        <w:rPr>
          <w:rFonts w:hint="eastAsia" w:ascii="仿宋_GB2312" w:eastAsia="仿宋_GB2312"/>
          <w:color w:val="auto"/>
          <w:sz w:val="21"/>
          <w:szCs w:val="21"/>
        </w:rPr>
        <w:t>．住房保障支出（类）住房改革支出（款）购房补贴（项）：是指主要用于本单位向符合条件职工发放的用于购买住房的补贴。</w:t>
      </w:r>
    </w:p>
    <w:p>
      <w:pPr>
        <w:spacing w:line="360" w:lineRule="auto"/>
        <w:ind w:firstLine="645"/>
        <w:rPr>
          <w:rFonts w:hint="eastAsia" w:ascii="仿宋_GB2312" w:eastAsia="仿宋_GB2312"/>
          <w:color w:val="auto"/>
          <w:sz w:val="21"/>
          <w:szCs w:val="21"/>
        </w:rPr>
      </w:pPr>
      <w:r>
        <w:rPr>
          <w:rFonts w:ascii="仿宋_GB2312" w:eastAsia="仿宋_GB2312"/>
          <w:color w:val="auto"/>
          <w:sz w:val="21"/>
          <w:szCs w:val="21"/>
        </w:rPr>
        <w:t>26</w:t>
      </w:r>
      <w:r>
        <w:rPr>
          <w:rFonts w:hint="eastAsia" w:ascii="仿宋_GB2312" w:eastAsia="仿宋_GB2312"/>
          <w:color w:val="auto"/>
          <w:sz w:val="21"/>
          <w:szCs w:val="21"/>
        </w:rPr>
        <w:t>．其他支出（类）其他政府性基金及对应专项债务收入安排的支出（款）其他政府性基金及对应专项债务收入安排的支出（项）：是指主要用于政府投资项目设施配套建设的支出。</w:t>
      </w:r>
    </w:p>
    <w:p>
      <w:pPr>
        <w:spacing w:line="360" w:lineRule="auto"/>
        <w:ind w:firstLine="645"/>
        <w:rPr>
          <w:rFonts w:hint="eastAsia" w:ascii="仿宋_GB2312" w:eastAsia="仿宋_GB2312"/>
          <w:color w:val="auto"/>
          <w:sz w:val="21"/>
          <w:szCs w:val="21"/>
          <w:lang w:eastAsia="zh-CN"/>
        </w:rPr>
      </w:pPr>
      <w:r>
        <w:rPr>
          <w:rFonts w:hint="eastAsia" w:ascii="仿宋_GB2312" w:eastAsia="仿宋_GB2312"/>
          <w:color w:val="auto"/>
          <w:sz w:val="21"/>
          <w:szCs w:val="21"/>
          <w:lang w:val="en-US" w:eastAsia="zh-CN"/>
        </w:rPr>
        <w:t xml:space="preserve">27. </w:t>
      </w:r>
      <w:r>
        <w:rPr>
          <w:rFonts w:hint="eastAsia" w:ascii="仿宋_GB2312" w:eastAsia="仿宋_GB2312"/>
          <w:color w:val="auto"/>
          <w:sz w:val="21"/>
          <w:szCs w:val="21"/>
        </w:rPr>
        <w:t>其他支出（类）彩票公益金及对应专项债务收入安排的支出(基金)（款）用于残疾人事业的彩票公益金支出(基金)（项）</w:t>
      </w:r>
      <w:r>
        <w:rPr>
          <w:rFonts w:hint="eastAsia" w:ascii="仿宋_GB2312" w:eastAsia="仿宋_GB2312"/>
          <w:color w:val="auto"/>
          <w:sz w:val="21"/>
          <w:szCs w:val="21"/>
          <w:lang w:eastAsia="zh-CN"/>
        </w:rPr>
        <w:t>：是指不能划分到具体功能科目中的</w:t>
      </w:r>
      <w:r>
        <w:rPr>
          <w:rFonts w:hint="eastAsia" w:ascii="仿宋_GB2312" w:eastAsia="仿宋_GB2312"/>
          <w:color w:val="auto"/>
          <w:sz w:val="21"/>
          <w:szCs w:val="21"/>
        </w:rPr>
        <w:t>用于残疾人事业的彩票公益金支出</w:t>
      </w:r>
      <w:r>
        <w:rPr>
          <w:rFonts w:hint="eastAsia" w:ascii="仿宋_GB2312" w:eastAsia="仿宋_GB2312"/>
          <w:color w:val="auto"/>
          <w:sz w:val="21"/>
          <w:szCs w:val="21"/>
          <w:lang w:eastAsia="zh-CN"/>
        </w:rPr>
        <w:t>。</w:t>
      </w:r>
    </w:p>
    <w:p>
      <w:pPr>
        <w:spacing w:line="360" w:lineRule="auto"/>
        <w:ind w:firstLine="645"/>
        <w:rPr>
          <w:rFonts w:hint="eastAsia" w:ascii="仿宋_GB2312" w:eastAsia="仿宋_GB2312"/>
          <w:color w:val="auto"/>
          <w:sz w:val="21"/>
          <w:szCs w:val="21"/>
          <w:lang w:eastAsia="zh-CN"/>
        </w:rPr>
      </w:pPr>
      <w:r>
        <w:rPr>
          <w:rFonts w:hint="eastAsia" w:ascii="仿宋_GB2312" w:eastAsia="仿宋_GB2312"/>
          <w:color w:val="auto"/>
          <w:sz w:val="21"/>
          <w:szCs w:val="21"/>
          <w:lang w:val="en-US" w:eastAsia="zh-CN"/>
        </w:rPr>
        <w:t xml:space="preserve">28. </w:t>
      </w:r>
      <w:r>
        <w:rPr>
          <w:rFonts w:hint="eastAsia" w:ascii="仿宋_GB2312" w:eastAsia="仿宋_GB2312"/>
          <w:color w:val="auto"/>
          <w:sz w:val="21"/>
          <w:szCs w:val="21"/>
        </w:rPr>
        <w:t>社会保障和就业支出（类）行政事业单位离退休（款）</w:t>
      </w:r>
      <w:r>
        <w:rPr>
          <w:rFonts w:hint="eastAsia" w:ascii="仿宋_GB2312" w:eastAsia="仿宋_GB2312"/>
          <w:color w:val="auto"/>
          <w:sz w:val="21"/>
          <w:szCs w:val="21"/>
          <w:lang w:eastAsia="zh-CN"/>
        </w:rPr>
        <w:t>机关事业单位基本养老保险缴费支出</w:t>
      </w:r>
      <w:r>
        <w:rPr>
          <w:rFonts w:hint="eastAsia" w:ascii="仿宋_GB2312" w:eastAsia="仿宋_GB2312"/>
          <w:color w:val="auto"/>
          <w:sz w:val="21"/>
          <w:szCs w:val="21"/>
        </w:rPr>
        <w:t>（项）</w:t>
      </w:r>
      <w:r>
        <w:rPr>
          <w:rFonts w:hint="eastAsia" w:ascii="仿宋_GB2312" w:eastAsia="仿宋_GB2312"/>
          <w:color w:val="auto"/>
          <w:sz w:val="21"/>
          <w:szCs w:val="21"/>
          <w:lang w:eastAsia="zh-CN"/>
        </w:rPr>
        <w:t>：是指反映机关事业单位实施养老保障制度由单位缴纳的基本养老保险支出。</w:t>
      </w:r>
    </w:p>
    <w:p>
      <w:pPr>
        <w:spacing w:line="360" w:lineRule="auto"/>
        <w:ind w:firstLine="645"/>
        <w:rPr>
          <w:rFonts w:hint="eastAsia" w:ascii="宋体" w:hAnsi="宋体" w:eastAsia="宋体" w:cs="宋体"/>
          <w:color w:val="000000"/>
          <w:sz w:val="21"/>
          <w:szCs w:val="21"/>
        </w:rPr>
      </w:pPr>
      <w:r>
        <w:rPr>
          <w:rFonts w:hint="eastAsia" w:ascii="仿宋_GB2312" w:eastAsia="仿宋_GB2312"/>
          <w:color w:val="auto"/>
          <w:sz w:val="21"/>
          <w:szCs w:val="21"/>
          <w:lang w:val="en-US" w:eastAsia="zh-CN"/>
        </w:rPr>
        <w:t xml:space="preserve">29. </w:t>
      </w:r>
      <w:r>
        <w:rPr>
          <w:rFonts w:hint="eastAsia" w:ascii="仿宋_GB2312" w:eastAsia="仿宋_GB2312"/>
          <w:color w:val="auto"/>
          <w:sz w:val="21"/>
          <w:szCs w:val="21"/>
        </w:rPr>
        <w:t>社会保障和就业支出（类）行政事业单位离退休（款）</w:t>
      </w:r>
      <w:r>
        <w:rPr>
          <w:rFonts w:hint="eastAsia" w:ascii="仿宋_GB2312" w:eastAsia="仿宋_GB2312"/>
          <w:color w:val="auto"/>
          <w:sz w:val="21"/>
          <w:szCs w:val="21"/>
          <w:lang w:eastAsia="zh-CN"/>
        </w:rPr>
        <w:t>机关事业单位职业年金缴费支出</w:t>
      </w:r>
      <w:r>
        <w:rPr>
          <w:rFonts w:hint="eastAsia" w:ascii="仿宋_GB2312" w:eastAsia="仿宋_GB2312"/>
          <w:color w:val="auto"/>
          <w:sz w:val="21"/>
          <w:szCs w:val="21"/>
        </w:rPr>
        <w:t>（项）</w:t>
      </w:r>
      <w:r>
        <w:rPr>
          <w:rFonts w:hint="eastAsia" w:ascii="仿宋_GB2312" w:eastAsia="仿宋_GB2312"/>
          <w:color w:val="auto"/>
          <w:sz w:val="21"/>
          <w:szCs w:val="21"/>
          <w:lang w:eastAsia="zh-CN"/>
        </w:rPr>
        <w:t>：是指反映机关事业单位实施养老保障制度由单位缴纳的职业年金支出。</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5E340"/>
    <w:multiLevelType w:val="singleLevel"/>
    <w:tmpl w:val="5035E34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2042"/>
    <w:rsid w:val="00064128"/>
    <w:rsid w:val="000651D8"/>
    <w:rsid w:val="0007101E"/>
    <w:rsid w:val="00072BCA"/>
    <w:rsid w:val="000E188B"/>
    <w:rsid w:val="000E18A3"/>
    <w:rsid w:val="000F6A4F"/>
    <w:rsid w:val="001016A7"/>
    <w:rsid w:val="00114391"/>
    <w:rsid w:val="00120C66"/>
    <w:rsid w:val="00120CDC"/>
    <w:rsid w:val="00176822"/>
    <w:rsid w:val="0018273E"/>
    <w:rsid w:val="00184183"/>
    <w:rsid w:val="001902D7"/>
    <w:rsid w:val="00190775"/>
    <w:rsid w:val="001920D4"/>
    <w:rsid w:val="00192FAE"/>
    <w:rsid w:val="001A2286"/>
    <w:rsid w:val="001A45E9"/>
    <w:rsid w:val="001D5629"/>
    <w:rsid w:val="001E74C5"/>
    <w:rsid w:val="001F527C"/>
    <w:rsid w:val="00206218"/>
    <w:rsid w:val="00207B27"/>
    <w:rsid w:val="00214241"/>
    <w:rsid w:val="00221B85"/>
    <w:rsid w:val="00250207"/>
    <w:rsid w:val="00257A58"/>
    <w:rsid w:val="00270F3A"/>
    <w:rsid w:val="002738A3"/>
    <w:rsid w:val="002746F1"/>
    <w:rsid w:val="00276750"/>
    <w:rsid w:val="00282B23"/>
    <w:rsid w:val="00294E07"/>
    <w:rsid w:val="00295463"/>
    <w:rsid w:val="002A7BA1"/>
    <w:rsid w:val="002D6A30"/>
    <w:rsid w:val="002E00D5"/>
    <w:rsid w:val="00322582"/>
    <w:rsid w:val="003265FA"/>
    <w:rsid w:val="00327825"/>
    <w:rsid w:val="00330A19"/>
    <w:rsid w:val="00342CD2"/>
    <w:rsid w:val="00344F37"/>
    <w:rsid w:val="0034725A"/>
    <w:rsid w:val="00361F65"/>
    <w:rsid w:val="00371925"/>
    <w:rsid w:val="00373442"/>
    <w:rsid w:val="003775A0"/>
    <w:rsid w:val="0038512D"/>
    <w:rsid w:val="00386388"/>
    <w:rsid w:val="0038715C"/>
    <w:rsid w:val="003A4B20"/>
    <w:rsid w:val="003A6FA2"/>
    <w:rsid w:val="003B0DD8"/>
    <w:rsid w:val="003B1368"/>
    <w:rsid w:val="003C4F54"/>
    <w:rsid w:val="003D0527"/>
    <w:rsid w:val="003D31D7"/>
    <w:rsid w:val="003D5271"/>
    <w:rsid w:val="003D746E"/>
    <w:rsid w:val="003E6F76"/>
    <w:rsid w:val="003F53B9"/>
    <w:rsid w:val="004040A3"/>
    <w:rsid w:val="004044EE"/>
    <w:rsid w:val="00417507"/>
    <w:rsid w:val="00420D41"/>
    <w:rsid w:val="00421AF8"/>
    <w:rsid w:val="00450FEA"/>
    <w:rsid w:val="004614FB"/>
    <w:rsid w:val="00482F4B"/>
    <w:rsid w:val="00492845"/>
    <w:rsid w:val="00493E30"/>
    <w:rsid w:val="004A7B52"/>
    <w:rsid w:val="004C62D1"/>
    <w:rsid w:val="004D09A8"/>
    <w:rsid w:val="004E0E8D"/>
    <w:rsid w:val="004F1790"/>
    <w:rsid w:val="004F2CCF"/>
    <w:rsid w:val="004F54CB"/>
    <w:rsid w:val="00514AEC"/>
    <w:rsid w:val="00515175"/>
    <w:rsid w:val="00515271"/>
    <w:rsid w:val="00516246"/>
    <w:rsid w:val="005174AB"/>
    <w:rsid w:val="00582F7A"/>
    <w:rsid w:val="00586939"/>
    <w:rsid w:val="00590A87"/>
    <w:rsid w:val="00595EAD"/>
    <w:rsid w:val="005A1EB3"/>
    <w:rsid w:val="005B180D"/>
    <w:rsid w:val="005B1CD6"/>
    <w:rsid w:val="005B602D"/>
    <w:rsid w:val="005C2F43"/>
    <w:rsid w:val="005E3140"/>
    <w:rsid w:val="006048A5"/>
    <w:rsid w:val="00604C57"/>
    <w:rsid w:val="0061194C"/>
    <w:rsid w:val="0061672A"/>
    <w:rsid w:val="006267B8"/>
    <w:rsid w:val="00632156"/>
    <w:rsid w:val="00633DDE"/>
    <w:rsid w:val="006405C2"/>
    <w:rsid w:val="006847B4"/>
    <w:rsid w:val="00685EAF"/>
    <w:rsid w:val="00694190"/>
    <w:rsid w:val="0069448C"/>
    <w:rsid w:val="0069528E"/>
    <w:rsid w:val="006970D0"/>
    <w:rsid w:val="006C34A6"/>
    <w:rsid w:val="006C527F"/>
    <w:rsid w:val="006D6A2F"/>
    <w:rsid w:val="007013D3"/>
    <w:rsid w:val="007033AA"/>
    <w:rsid w:val="007079F8"/>
    <w:rsid w:val="00717C1C"/>
    <w:rsid w:val="007200FE"/>
    <w:rsid w:val="0073424B"/>
    <w:rsid w:val="00741108"/>
    <w:rsid w:val="00741B55"/>
    <w:rsid w:val="00746CBE"/>
    <w:rsid w:val="00761B9C"/>
    <w:rsid w:val="00765C83"/>
    <w:rsid w:val="00780470"/>
    <w:rsid w:val="00794BF7"/>
    <w:rsid w:val="00795BC2"/>
    <w:rsid w:val="007B0FA4"/>
    <w:rsid w:val="007B33DE"/>
    <w:rsid w:val="007B3679"/>
    <w:rsid w:val="007C44E9"/>
    <w:rsid w:val="007D348B"/>
    <w:rsid w:val="007E6CDF"/>
    <w:rsid w:val="008223CC"/>
    <w:rsid w:val="00822CEF"/>
    <w:rsid w:val="008346BD"/>
    <w:rsid w:val="00854686"/>
    <w:rsid w:val="00881F0B"/>
    <w:rsid w:val="00886526"/>
    <w:rsid w:val="00887089"/>
    <w:rsid w:val="00893EDB"/>
    <w:rsid w:val="008C2CF4"/>
    <w:rsid w:val="008D48F1"/>
    <w:rsid w:val="008E54B4"/>
    <w:rsid w:val="008F1E0E"/>
    <w:rsid w:val="0090349E"/>
    <w:rsid w:val="009125B1"/>
    <w:rsid w:val="00913D52"/>
    <w:rsid w:val="00923634"/>
    <w:rsid w:val="009320DC"/>
    <w:rsid w:val="00951A76"/>
    <w:rsid w:val="0097416C"/>
    <w:rsid w:val="0097677D"/>
    <w:rsid w:val="009809AE"/>
    <w:rsid w:val="00982B21"/>
    <w:rsid w:val="009845D7"/>
    <w:rsid w:val="00990DDE"/>
    <w:rsid w:val="00997B30"/>
    <w:rsid w:val="009A37C6"/>
    <w:rsid w:val="009B570B"/>
    <w:rsid w:val="009B781D"/>
    <w:rsid w:val="009D180F"/>
    <w:rsid w:val="009E735B"/>
    <w:rsid w:val="009F33E5"/>
    <w:rsid w:val="00A0740C"/>
    <w:rsid w:val="00A309C1"/>
    <w:rsid w:val="00A34BA9"/>
    <w:rsid w:val="00A43612"/>
    <w:rsid w:val="00A517C2"/>
    <w:rsid w:val="00A567AF"/>
    <w:rsid w:val="00A71EB2"/>
    <w:rsid w:val="00A828DF"/>
    <w:rsid w:val="00AA03BD"/>
    <w:rsid w:val="00AC012E"/>
    <w:rsid w:val="00AC03C2"/>
    <w:rsid w:val="00AF106F"/>
    <w:rsid w:val="00AF2F79"/>
    <w:rsid w:val="00AF3B7B"/>
    <w:rsid w:val="00AF77F1"/>
    <w:rsid w:val="00B44978"/>
    <w:rsid w:val="00B52F86"/>
    <w:rsid w:val="00B5679A"/>
    <w:rsid w:val="00B867F5"/>
    <w:rsid w:val="00B93A85"/>
    <w:rsid w:val="00BB1A58"/>
    <w:rsid w:val="00BB4E1E"/>
    <w:rsid w:val="00BC6167"/>
    <w:rsid w:val="00BD722D"/>
    <w:rsid w:val="00BF6CE9"/>
    <w:rsid w:val="00BF6D0A"/>
    <w:rsid w:val="00BF7509"/>
    <w:rsid w:val="00BF7B7E"/>
    <w:rsid w:val="00C03C0A"/>
    <w:rsid w:val="00C31791"/>
    <w:rsid w:val="00C33E6D"/>
    <w:rsid w:val="00C362CE"/>
    <w:rsid w:val="00C450CC"/>
    <w:rsid w:val="00C5682A"/>
    <w:rsid w:val="00C80187"/>
    <w:rsid w:val="00C81C6E"/>
    <w:rsid w:val="00C85CCC"/>
    <w:rsid w:val="00CA1E85"/>
    <w:rsid w:val="00CA3947"/>
    <w:rsid w:val="00CD3F92"/>
    <w:rsid w:val="00CD70CB"/>
    <w:rsid w:val="00CE47C0"/>
    <w:rsid w:val="00CE4D3C"/>
    <w:rsid w:val="00CE7492"/>
    <w:rsid w:val="00CF1EE7"/>
    <w:rsid w:val="00D14CD2"/>
    <w:rsid w:val="00D366CD"/>
    <w:rsid w:val="00D41B69"/>
    <w:rsid w:val="00D4707B"/>
    <w:rsid w:val="00D54C56"/>
    <w:rsid w:val="00D61851"/>
    <w:rsid w:val="00D61FA7"/>
    <w:rsid w:val="00D70031"/>
    <w:rsid w:val="00D81005"/>
    <w:rsid w:val="00D82028"/>
    <w:rsid w:val="00D82442"/>
    <w:rsid w:val="00D826D8"/>
    <w:rsid w:val="00D83AEB"/>
    <w:rsid w:val="00D878BC"/>
    <w:rsid w:val="00D91495"/>
    <w:rsid w:val="00D914B2"/>
    <w:rsid w:val="00D91A88"/>
    <w:rsid w:val="00D95E1E"/>
    <w:rsid w:val="00DA64A4"/>
    <w:rsid w:val="00DD55A4"/>
    <w:rsid w:val="00DE1E92"/>
    <w:rsid w:val="00DE4BF0"/>
    <w:rsid w:val="00DF03E0"/>
    <w:rsid w:val="00DF4F09"/>
    <w:rsid w:val="00DF70C6"/>
    <w:rsid w:val="00E0018C"/>
    <w:rsid w:val="00E11F7A"/>
    <w:rsid w:val="00E2537B"/>
    <w:rsid w:val="00E3509E"/>
    <w:rsid w:val="00E71FA7"/>
    <w:rsid w:val="00E72A06"/>
    <w:rsid w:val="00EA41D6"/>
    <w:rsid w:val="00EB6701"/>
    <w:rsid w:val="00EB7242"/>
    <w:rsid w:val="00ED24E5"/>
    <w:rsid w:val="00EF3F12"/>
    <w:rsid w:val="00EF6DB6"/>
    <w:rsid w:val="00F03027"/>
    <w:rsid w:val="00F20479"/>
    <w:rsid w:val="00F20E78"/>
    <w:rsid w:val="00F2662F"/>
    <w:rsid w:val="00F30F2B"/>
    <w:rsid w:val="00F47F2E"/>
    <w:rsid w:val="00F770F2"/>
    <w:rsid w:val="00F96E70"/>
    <w:rsid w:val="00F97ACF"/>
    <w:rsid w:val="00FB2A8A"/>
    <w:rsid w:val="00FB67F9"/>
    <w:rsid w:val="00FB6DE5"/>
    <w:rsid w:val="00FB7D78"/>
    <w:rsid w:val="00FC46E6"/>
    <w:rsid w:val="00FC7092"/>
    <w:rsid w:val="00FC74BF"/>
    <w:rsid w:val="00FD477C"/>
    <w:rsid w:val="00FD4D65"/>
    <w:rsid w:val="00FF3C3B"/>
    <w:rsid w:val="020532FE"/>
    <w:rsid w:val="03024AD6"/>
    <w:rsid w:val="03791B58"/>
    <w:rsid w:val="03CB3B4D"/>
    <w:rsid w:val="04EE2344"/>
    <w:rsid w:val="05BB4FA6"/>
    <w:rsid w:val="068F059A"/>
    <w:rsid w:val="069F22F3"/>
    <w:rsid w:val="06DA5BF3"/>
    <w:rsid w:val="07872567"/>
    <w:rsid w:val="07C31D4B"/>
    <w:rsid w:val="08772BDB"/>
    <w:rsid w:val="096C63CC"/>
    <w:rsid w:val="0A4924DE"/>
    <w:rsid w:val="0A9C142C"/>
    <w:rsid w:val="0A9C33A0"/>
    <w:rsid w:val="0CB54EA1"/>
    <w:rsid w:val="0CC23A7D"/>
    <w:rsid w:val="0D033ED7"/>
    <w:rsid w:val="0D686290"/>
    <w:rsid w:val="0D765CA0"/>
    <w:rsid w:val="0EBA303E"/>
    <w:rsid w:val="0F3C7D81"/>
    <w:rsid w:val="0F827ECC"/>
    <w:rsid w:val="116C33D2"/>
    <w:rsid w:val="12053F2B"/>
    <w:rsid w:val="12D809F3"/>
    <w:rsid w:val="13316A1C"/>
    <w:rsid w:val="1407256A"/>
    <w:rsid w:val="146F3918"/>
    <w:rsid w:val="153845EA"/>
    <w:rsid w:val="17B57562"/>
    <w:rsid w:val="17F37E53"/>
    <w:rsid w:val="189E7597"/>
    <w:rsid w:val="1A177E97"/>
    <w:rsid w:val="1A3D3EAF"/>
    <w:rsid w:val="1ADF5A91"/>
    <w:rsid w:val="1B843D42"/>
    <w:rsid w:val="1BF04FA7"/>
    <w:rsid w:val="1CBC1D20"/>
    <w:rsid w:val="1D293490"/>
    <w:rsid w:val="1D4D4893"/>
    <w:rsid w:val="1E5028E6"/>
    <w:rsid w:val="1F276D8D"/>
    <w:rsid w:val="2011704B"/>
    <w:rsid w:val="20971935"/>
    <w:rsid w:val="218904F0"/>
    <w:rsid w:val="21892342"/>
    <w:rsid w:val="21FD6415"/>
    <w:rsid w:val="2241234A"/>
    <w:rsid w:val="22AF7FB1"/>
    <w:rsid w:val="231541D6"/>
    <w:rsid w:val="23A927F6"/>
    <w:rsid w:val="2435696C"/>
    <w:rsid w:val="246D2026"/>
    <w:rsid w:val="24B3105E"/>
    <w:rsid w:val="254E6305"/>
    <w:rsid w:val="25930F6A"/>
    <w:rsid w:val="26280691"/>
    <w:rsid w:val="2650689C"/>
    <w:rsid w:val="265A37E8"/>
    <w:rsid w:val="265B4CEE"/>
    <w:rsid w:val="271270C2"/>
    <w:rsid w:val="27CD6E0A"/>
    <w:rsid w:val="2A0D0147"/>
    <w:rsid w:val="2AD2766B"/>
    <w:rsid w:val="2ADC1A25"/>
    <w:rsid w:val="2C681A84"/>
    <w:rsid w:val="2F365F1E"/>
    <w:rsid w:val="30512ECE"/>
    <w:rsid w:val="305A288D"/>
    <w:rsid w:val="31225FCC"/>
    <w:rsid w:val="31CA7BFA"/>
    <w:rsid w:val="31D5017C"/>
    <w:rsid w:val="36381C12"/>
    <w:rsid w:val="367C3C6C"/>
    <w:rsid w:val="377B5314"/>
    <w:rsid w:val="391C62BF"/>
    <w:rsid w:val="394409AD"/>
    <w:rsid w:val="395E7B63"/>
    <w:rsid w:val="3A0F1963"/>
    <w:rsid w:val="3A236F28"/>
    <w:rsid w:val="3B0821D1"/>
    <w:rsid w:val="3B454BE3"/>
    <w:rsid w:val="3BD50D5D"/>
    <w:rsid w:val="3BF308C6"/>
    <w:rsid w:val="3D2F7F8F"/>
    <w:rsid w:val="3E75217D"/>
    <w:rsid w:val="3F4F7BA7"/>
    <w:rsid w:val="3FB17089"/>
    <w:rsid w:val="400162AC"/>
    <w:rsid w:val="40DF3064"/>
    <w:rsid w:val="41B8768B"/>
    <w:rsid w:val="41F230F1"/>
    <w:rsid w:val="42333622"/>
    <w:rsid w:val="42CD5FCC"/>
    <w:rsid w:val="43EE40E5"/>
    <w:rsid w:val="48CC1BA0"/>
    <w:rsid w:val="48F15125"/>
    <w:rsid w:val="495D114E"/>
    <w:rsid w:val="4B072057"/>
    <w:rsid w:val="4B0A2713"/>
    <w:rsid w:val="4D355483"/>
    <w:rsid w:val="4E3438B0"/>
    <w:rsid w:val="4FAD720A"/>
    <w:rsid w:val="507571C6"/>
    <w:rsid w:val="50AD10EA"/>
    <w:rsid w:val="50ED468E"/>
    <w:rsid w:val="50FC6E81"/>
    <w:rsid w:val="51811351"/>
    <w:rsid w:val="53086381"/>
    <w:rsid w:val="53226CDE"/>
    <w:rsid w:val="5446045B"/>
    <w:rsid w:val="545F185B"/>
    <w:rsid w:val="547F5712"/>
    <w:rsid w:val="54874BD6"/>
    <w:rsid w:val="552E017A"/>
    <w:rsid w:val="55AE2943"/>
    <w:rsid w:val="55D815C1"/>
    <w:rsid w:val="56710F2D"/>
    <w:rsid w:val="5755795C"/>
    <w:rsid w:val="5782165C"/>
    <w:rsid w:val="57B4084F"/>
    <w:rsid w:val="580A46BF"/>
    <w:rsid w:val="58400F6C"/>
    <w:rsid w:val="5875255A"/>
    <w:rsid w:val="58CD437A"/>
    <w:rsid w:val="58F00720"/>
    <w:rsid w:val="59F51F09"/>
    <w:rsid w:val="5B7E049F"/>
    <w:rsid w:val="5C2F6E29"/>
    <w:rsid w:val="5C462401"/>
    <w:rsid w:val="5D6714A7"/>
    <w:rsid w:val="5D7E1883"/>
    <w:rsid w:val="5E96385E"/>
    <w:rsid w:val="5F1B0784"/>
    <w:rsid w:val="609B5488"/>
    <w:rsid w:val="60E57497"/>
    <w:rsid w:val="62807516"/>
    <w:rsid w:val="634D59B9"/>
    <w:rsid w:val="640E3569"/>
    <w:rsid w:val="649733B7"/>
    <w:rsid w:val="6501408E"/>
    <w:rsid w:val="65174A46"/>
    <w:rsid w:val="6A911100"/>
    <w:rsid w:val="6BA8511C"/>
    <w:rsid w:val="6BC075B0"/>
    <w:rsid w:val="6BED48A7"/>
    <w:rsid w:val="6C6F2F7D"/>
    <w:rsid w:val="6C84250C"/>
    <w:rsid w:val="6DBC6FCB"/>
    <w:rsid w:val="6F0059B7"/>
    <w:rsid w:val="6F1B0D3C"/>
    <w:rsid w:val="6F487622"/>
    <w:rsid w:val="6F536121"/>
    <w:rsid w:val="6F6C5C7F"/>
    <w:rsid w:val="6F8D4F85"/>
    <w:rsid w:val="72134A3E"/>
    <w:rsid w:val="722626D4"/>
    <w:rsid w:val="73003114"/>
    <w:rsid w:val="7450240A"/>
    <w:rsid w:val="75390E59"/>
    <w:rsid w:val="760E0C8B"/>
    <w:rsid w:val="76565DE6"/>
    <w:rsid w:val="775D1247"/>
    <w:rsid w:val="77AD2241"/>
    <w:rsid w:val="78CC7C59"/>
    <w:rsid w:val="7B017385"/>
    <w:rsid w:val="7C8C7114"/>
    <w:rsid w:val="7D5E18A3"/>
    <w:rsid w:val="7D9857BE"/>
    <w:rsid w:val="7DAD2143"/>
    <w:rsid w:val="7DC0370F"/>
    <w:rsid w:val="7E6B668C"/>
    <w:rsid w:val="7EC600EA"/>
    <w:rsid w:val="7FE9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1549</Words>
  <Characters>8832</Characters>
  <Lines>73</Lines>
  <Paragraphs>20</Paragraphs>
  <TotalTime>1</TotalTime>
  <ScaleCrop>false</ScaleCrop>
  <LinksUpToDate>false</LinksUpToDate>
  <CharactersWithSpaces>10361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郑钦洪</cp:lastModifiedBy>
  <cp:lastPrinted>2018-09-21T07:29:37Z</cp:lastPrinted>
  <dcterms:modified xsi:type="dcterms:W3CDTF">2018-09-21T07:31:29Z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